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spacing w:before="120" w:beforeAutospacing="0" w:after="120" w:afterAutospacing="0" w:line="360" w:lineRule="auto"/>
      </w:pPr>
      <w:r>
        <w:t xml:space="preserve"> </w:t>
      </w:r>
      <w:r/>
    </w:p>
    <w:p>
      <w:pPr>
        <w:pStyle w:val="729"/>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729"/>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竞争性磋商文件</w:t>
      </w:r>
      <w:r/>
    </w:p>
    <w:p>
      <w:pPr>
        <w:pStyle w:val="72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29"/>
        <w:jc w:val="both"/>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29"/>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射阳县人民法院安保服务项目</w:t>
      </w:r>
      <w:r/>
    </w:p>
    <w:p>
      <w:pPr>
        <w:pStyle w:val="729"/>
        <w:jc w:val="center"/>
        <w:spacing w:before="120" w:beforeAutospacing="0" w:after="120" w:afterAutospacing="0" w:line="360" w:lineRule="auto"/>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0000ff"/>
          <w:sz w:val="32"/>
          <w:szCs w:val="32"/>
          <w:highlight w:val="none"/>
        </w:rPr>
        <w:t xml:space="preserve">：JSZC-320924-JZCG-C2026-0014</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rPr>
          <w:rFonts w:hint="eastAsia"/>
          <w:lang w:val="en-US" w:eastAsia="zh-CN"/>
        </w:rPr>
      </w:pPr>
      <w:r>
        <w:rPr>
          <w:rFonts w:hint="eastAsia"/>
          <w:lang w:val="en-US" w:eastAsia="zh-CN"/>
        </w:rPr>
      </w:r>
      <w:r/>
    </w:p>
    <w:p>
      <w:pPr>
        <w:pStyle w:val="729"/>
        <w:jc w:val="center"/>
        <w:spacing w:before="120" w:beforeAutospacing="0" w:after="120" w:afterAutospacing="0"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射阳县人民法院</w:t>
      </w:r>
      <w:r/>
    </w:p>
    <w:p>
      <w:pPr>
        <w:pStyle w:val="729"/>
        <w:jc w:val="center"/>
        <w:spacing w:before="120" w:beforeAutospacing="0" w:after="120" w:afterAutospacing="0" w:line="360" w:lineRule="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lang w:val="en-US" w:eastAsia="zh-CN"/>
        </w:rPr>
        <w:t xml:space="preserve">2026</w:t>
      </w:r>
      <w:r>
        <w:rPr>
          <w:rFonts w:hint="eastAsia" w:ascii="宋体" w:hAnsi="宋体" w:eastAsia="宋体" w:cs="宋体"/>
          <w:b/>
          <w:color w:val="auto"/>
          <w:sz w:val="36"/>
          <w:szCs w:val="36"/>
          <w:highlight w:val="none"/>
          <w:lang w:eastAsia="zh-CN"/>
        </w:rPr>
        <w:t xml:space="preserve">年</w:t>
      </w:r>
      <w:r>
        <w:rPr>
          <w:rFonts w:hint="eastAsia" w:ascii="宋体" w:hAnsi="宋体" w:eastAsia="宋体" w:cs="宋体"/>
          <w:b/>
          <w:color w:val="auto"/>
          <w:sz w:val="36"/>
          <w:szCs w:val="36"/>
          <w:highlight w:val="none"/>
          <w:lang w:val="en-US" w:eastAsia="zh-CN"/>
        </w:rPr>
        <w:t xml:space="preserve">5</w:t>
      </w:r>
      <w:r>
        <w:rPr>
          <w:rFonts w:hint="eastAsia" w:ascii="宋体" w:hAnsi="宋体" w:eastAsia="宋体" w:cs="宋体"/>
          <w:b/>
          <w:color w:val="auto"/>
          <w:sz w:val="36"/>
          <w:szCs w:val="36"/>
          <w:highlight w:val="none"/>
          <w:lang w:eastAsia="zh-CN"/>
        </w:rPr>
        <w:t xml:space="preserve">月</w:t>
      </w:r>
      <w:r/>
    </w:p>
    <w:p>
      <w:pPr>
        <w:pStyle w:val="729"/>
        <w:spacing w:before="120" w:beforeAutospacing="0" w:after="120" w:afterAutospacing="0" w:line="360" w:lineRule="auto"/>
      </w:pPr>
      <w:r>
        <w:rPr>
          <w:rFonts w:ascii="Arial" w:hAnsi="Arial" w:cs="Arial"/>
          <w:color w:val="000000"/>
        </w:rPr>
        <w:t xml:space="preserve">                        </w:t>
      </w:r>
      <w:r/>
    </w:p>
    <w:p>
      <w:pPr>
        <w:pStyle w:val="729"/>
        <w:jc w:val="center"/>
        <w:spacing w:beforeAutospacing="0" w:afterAutospacing="0" w:line="480" w:lineRule="auto"/>
        <w:rPr>
          <w:rFonts w:ascii="Times New Roman" w:hAnsi="Times New Roman"/>
          <w:color w:val="000000"/>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rPr>
      </w:r>
      <w:r/>
    </w:p>
    <w:p>
      <w:pPr>
        <w:pStyle w:val="729"/>
        <w:jc w:val="center"/>
        <w:spacing w:beforeAutospacing="0" w:afterAutospacing="0" w:line="480" w:lineRule="auto"/>
      </w:pPr>
      <w:r>
        <w:rPr>
          <w:rFonts w:ascii="Times New Roman" w:hAnsi="Times New Roman"/>
          <w:color w:val="000000"/>
          <w:sz w:val="21"/>
          <w:szCs w:val="21"/>
        </w:rPr>
        <w:t xml:space="preserve"> </w:t>
      </w:r>
      <w:bookmarkStart w:id="0" w:name="_Toc479757206"/>
      <w:r/>
      <w:bookmarkStart w:id="1" w:name="_Toc513029200"/>
      <w:r/>
      <w:bookmarkStart w:id="2" w:name="_Toc20823272"/>
      <w:r/>
      <w:bookmarkStart w:id="3" w:name="_Toc16938516"/>
      <w:r/>
      <w:bookmarkStart w:id="4" w:name="_Toc120614210"/>
      <w:r/>
      <w:bookmarkStart w:id="5" w:name="_Toc523127445"/>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29"/>
        <w:jc w:val="both"/>
        <w:spacing w:beforeAutospacing="0" w:afterAutospacing="0" w:line="480" w:lineRule="auto"/>
      </w:pPr>
      <w:r>
        <w:t xml:space="preserve"> </w:t>
      </w:r>
      <w:r/>
    </w:p>
    <w:p>
      <w:pPr>
        <w:pStyle w:val="7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竞争性磋商公告</w:t>
      </w:r>
      <w:r>
        <w:rPr>
          <w:rFonts w:hint="eastAsia" w:ascii="黑体" w:hAnsi="宋体" w:eastAsia="黑体" w:cs="黑体"/>
          <w:color w:val="000000"/>
          <w:sz w:val="36"/>
          <w:szCs w:val="36"/>
        </w:rPr>
        <w:t xml:space="preserve">…………………………</w:t>
      </w:r>
      <w:r/>
    </w:p>
    <w:p>
      <w:pPr>
        <w:pStyle w:val="7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  </w:t>
      </w:r>
      <w:r/>
    </w:p>
    <w:p>
      <w:pPr>
        <w:pStyle w:val="7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7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7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评审方法与评审标准………………………</w:t>
      </w:r>
      <w:r/>
    </w:p>
    <w:p>
      <w:pPr>
        <w:pStyle w:val="7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bookmarkStart w:id="6" w:name="_Toc28359086"/>
      <w:r/>
      <w:r/>
    </w:p>
    <w:p>
      <w:pPr>
        <w:pStyle w:val="729"/>
        <w:jc w:val="center"/>
        <w:keepNext/>
        <w:spacing w:beforeAutospacing="0" w:afterAutospacing="0"/>
        <w:rPr>
          <w:rFonts w:hint="eastAsia" w:ascii="仿宋" w:hAnsi="仿宋" w:eastAsia="仿宋" w:cs="仿宋"/>
          <w:sz w:val="28"/>
          <w:szCs w:val="28"/>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竞争性磋商公告</w:t>
      </w:r>
      <w:r/>
    </w:p>
    <w:p>
      <w:pPr>
        <w:pStyle w:val="729"/>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7" w:name="_Toc38985263"/>
      <w:r/>
      <w:bookmarkStart w:id="8" w:name="_Toc35393790"/>
      <w:r/>
      <w:bookmarkStart w:id="9" w:name="_Toc28359002"/>
      <w:r/>
      <w:bookmarkStart w:id="10" w:name="_Toc28359079"/>
      <w:r/>
      <w:bookmarkStart w:id="11" w:name="_Hlk24379207"/>
      <w:r/>
      <w:bookmarkStart w:id="12" w:name="_Toc35393621"/>
      <w:r>
        <w:rPr>
          <w:rFonts w:hint="eastAsia" w:ascii="宋体" w:hAnsi="宋体" w:eastAsia="宋体" w:cs="宋体"/>
          <w:color w:val="auto"/>
          <w:sz w:val="24"/>
          <w:szCs w:val="24"/>
          <w:highlight w:val="none"/>
        </w:rPr>
        <w:t xml:space="preserve">项目概况</w:t>
      </w:r>
      <w:r/>
    </w:p>
    <w:p>
      <w:pPr>
        <w:pStyle w:val="72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射阳县人民法院安保服务项目</w:t>
      </w:r>
      <w:r>
        <w:rPr>
          <w:rFonts w:hint="eastAsia" w:ascii="宋体" w:hAnsi="宋体" w:eastAsia="宋体" w:cs="宋体"/>
          <w:color w:val="auto"/>
          <w:sz w:val="24"/>
          <w:szCs w:val="24"/>
          <w:highlight w:val="none"/>
        </w:rPr>
        <w:t xml:space="preserve">的潜在投标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5</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29</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29"/>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1.项目编号：JSZC-320924-JZCG-C2026-0014</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射阳县人民法院安保服务项目</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采购方式：竞争性磋商</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4.预算金额：129.6万元/年</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lang w:val="en-US" w:eastAsia="zh-CN"/>
        </w:rPr>
        <w:t xml:space="preserve">129.6万元/年，投标报价高于最高限价的，采购人将不予接受，视为无效标书。</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6.采购需求：射阳县人民法院对安保服务项目进行采购，采购内容包括：</w:t>
      </w:r>
      <w:r>
        <w:rPr>
          <w:rFonts w:hint="eastAsia" w:ascii="宋体" w:hAnsi="宋体" w:eastAsia="宋体" w:cs="宋体"/>
          <w:color w:val="auto"/>
          <w:sz w:val="24"/>
          <w:szCs w:val="24"/>
          <w:highlight w:val="none"/>
          <w:lang w:eastAsia="zh-CN"/>
        </w:rPr>
        <w:t xml:space="preserve">安检值班、安全保卫、协助法警维护办公及审判区域的秩序,院本部和法庭门卫须7*24小时值班。</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安保服务人员配备及要求：</w:t>
      </w:r>
      <w:r>
        <w:rPr>
          <w:rFonts w:hint="eastAsia" w:ascii="宋体" w:hAnsi="宋体" w:eastAsia="宋体" w:cs="宋体"/>
          <w:sz w:val="24"/>
          <w:szCs w:val="24"/>
          <w:lang w:val="en-US" w:eastAsia="zh-CN" w:bidi="ar-SA"/>
        </w:rPr>
        <w:t xml:space="preserve">安保服务人员共计24人（院机关12人、开发区5人、兴桥2人、耦耕2人、黄沙港3人）</w:t>
      </w:r>
      <w:r>
        <w:rPr>
          <w:rFonts w:hint="eastAsia" w:ascii="宋体" w:hAnsi="宋体" w:eastAsia="宋体" w:cs="宋体"/>
          <w:color w:val="auto"/>
          <w:sz w:val="24"/>
          <w:szCs w:val="24"/>
          <w:highlight w:val="none"/>
          <w:lang w:eastAsia="zh-CN"/>
        </w:rPr>
        <w:t xml:space="preserve">，需经过正规的安保业务培训，具有保安证、健康证。所有人员须身体健康，形象端正，无重大器官残疾或传染疾病，无不良嗜好，能对工作认真负责。具体采购范围及所应达到的具体要求，以本磋商文件中项目需求的相应规定为准，</w:t>
      </w:r>
      <w:r>
        <w:rPr>
          <w:rFonts w:hint="eastAsia" w:ascii="宋体" w:hAnsi="宋体" w:eastAsia="宋体" w:cs="宋体"/>
          <w:color w:val="auto"/>
          <w:sz w:val="24"/>
          <w:szCs w:val="24"/>
          <w:highlight w:val="none"/>
          <w:lang w:val="en-US" w:eastAsia="zh-CN"/>
        </w:rPr>
        <w:t xml:space="preserve">采购人保留对采购需求进行适当调整的权利</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b w:val="0"/>
          <w:bCs/>
          <w:sz w:val="24"/>
          <w:szCs w:val="24"/>
          <w:lang w:val="en-US" w:eastAsia="zh-CN"/>
        </w:rPr>
        <w:t xml:space="preserve">合同签订后三天内人员安排到位,自合同签订之日起，服务期限三年（合同按年度签订，一年一签）。</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sz w:val="24"/>
          <w:szCs w:val="24"/>
          <w:lang w:val="en-US" w:eastAsia="zh-CN"/>
        </w:rPr>
        <w:t xml:space="preserve">备注：中标单位在合同期内通过采购人的季度考核，平均分达90分以上的，可续签下一年度合同，总服务期限不超过三年；考核平均分未达标的，本项目合同终止，采购人方依法采取招标方式重新确定服务单位。</w:t>
      </w:r>
      <w:r/>
    </w:p>
    <w:p>
      <w:pPr>
        <w:pStyle w:val="896"/>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8.本项目不接受联合体。</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3" w:name="_Toc28359003"/>
      <w:r/>
      <w:bookmarkStart w:id="14" w:name="_Toc35393791"/>
      <w:r/>
      <w:bookmarkStart w:id="15" w:name="_Toc28359080"/>
      <w:r/>
      <w:bookmarkStart w:id="16" w:name="_Toc38985264"/>
      <w:r/>
      <w:bookmarkStart w:id="17" w:name="_Toc35393622"/>
      <w:r>
        <w:rPr>
          <w:rFonts w:hint="eastAsia" w:ascii="宋体" w:hAnsi="宋体" w:eastAsia="宋体" w:cs="宋体"/>
          <w:b/>
          <w:color w:val="auto"/>
          <w:sz w:val="24"/>
          <w:szCs w:val="24"/>
          <w:highlight w:val="none"/>
          <w:lang w:val="en-US" w:eastAsia="zh-CN"/>
        </w:rPr>
        <w:t xml:space="preserve">二、申请人的资格要求：</w:t>
      </w:r>
      <w:bookmarkEnd w:id="13"/>
      <w:r/>
      <w:bookmarkEnd w:id="14"/>
      <w:r/>
      <w:bookmarkEnd w:id="15"/>
      <w:r/>
      <w:bookmarkEnd w:id="16"/>
      <w:r/>
      <w:bookmarkEnd w:id="17"/>
      <w:r/>
      <w:r/>
    </w:p>
    <w:p>
      <w:pPr>
        <w:pStyle w:val="896"/>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1.满足《中华人民共和国政府采购法》第二十二条规定，并提供下列材料：</w:t>
      </w:r>
      <w:r/>
    </w:p>
    <w:p>
      <w:pPr>
        <w:pStyle w:val="896"/>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1.1 法人或者其他组织的营业执照等证明文件，自然人的身份证明；</w:t>
      </w:r>
      <w:r/>
    </w:p>
    <w:p>
      <w:pPr>
        <w:pStyle w:val="896"/>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1.2上一年度的财务状况报表（成立不满一年无需提供）；</w:t>
      </w:r>
      <w:r/>
    </w:p>
    <w:p>
      <w:pPr>
        <w:pStyle w:val="896"/>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1.3具备履行合同所必需的设备和专业技术能力的书面声明；</w:t>
      </w:r>
      <w:r/>
    </w:p>
    <w:p>
      <w:pPr>
        <w:pStyle w:val="896"/>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96"/>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1.5参加政府采购活动前3年内在经营活动中没有重大违法记录的书面声明。</w:t>
      </w:r>
      <w:r/>
    </w:p>
    <w:p>
      <w:pPr>
        <w:pStyle w:val="729"/>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1.8单位负责人为同一人或者存在直接控股、管理关系的不同供应商，不得参加同一合同项下的政府采购活动。</w:t>
      </w:r>
      <w:r/>
    </w:p>
    <w:p>
      <w:pPr>
        <w:pStyle w:val="729"/>
        <w:numPr>
          <w:ilvl w:val="0"/>
          <w:numId w:val="1"/>
        </w:numPr>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落实政府采购政策需满足的资格要求：本项目为服务类采购项目，所属行业为：物业管理行业。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729"/>
        <w:numPr>
          <w:ilvl w:val="0"/>
          <w:numId w:val="0"/>
        </w:numPr>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3.本项目的特定资格要求：</w:t>
      </w:r>
      <w:r/>
    </w:p>
    <w:p>
      <w:pPr>
        <w:pStyle w:val="729"/>
        <w:numPr>
          <w:ilvl w:val="0"/>
          <w:numId w:val="0"/>
        </w:numPr>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投标人须具有公安部门颁发的《保安服务许可证》；</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三、获取磋商文件</w:t>
      </w:r>
      <w:r/>
    </w:p>
    <w:p>
      <w:pPr>
        <w:pStyle w:val="72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val="zh-CN" w:eastAsia="zh-CN"/>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28359082"/>
      <w:r/>
      <w:bookmarkStart w:id="20" w:name="_Toc38985266"/>
      <w:r/>
      <w:bookmarkStart w:id="21" w:name="_Toc28359005"/>
      <w:r/>
      <w:bookmarkStart w:id="22" w:name="_Toc35393793"/>
      <w:r>
        <w:rPr>
          <w:rFonts w:hint="eastAsia" w:ascii="宋体" w:hAnsi="宋体" w:eastAsia="宋体" w:cs="宋体"/>
          <w:color w:val="auto"/>
          <w:sz w:val="24"/>
          <w:szCs w:val="24"/>
          <w:highlight w:val="none"/>
          <w:lang w:val="zh-CN" w:eastAsia="zh-CN"/>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zh-CN" w:eastAsia="zh-CN"/>
        </w:rPr>
        <w:t xml:space="preserve">自磋商文件公告发布之日起5个工作日</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2.地点：“苏采云”系统内免费下载（投标人必须在苏采云系统中获取采购文件，方能参与政府采购项目）；</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3.方式：本项目采用网上注册登记方式。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潜在供应商访问电子招标响应交易平台的网络地址和方法：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潜在投标人访问“苏采云”系统方法：江苏省政府采购网首页-“苏采云”链接。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采购文件（后缀名为“.kedt”）、供应商操作手册及政府采购客户端 工具可通过“苏采云”系统相应链接进行下载。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采购代理机构将数据电文形式的采购文件加载至“苏采云”系统，供潜在供应商下载或者查阅。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 请潜在投标单位提前安装相应的控件（详见《“苏采云”系统供应商操作手册》）并使用谷歌浏览器登录“苏采云”系统参与不见面开评标。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如潜在投标人未按上述要求操作，将自行承担所产生的风险。</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4.售价：0元</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四、响应文件提交</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1.截止时间：2026年5月29日09点00分（北京时间）。</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23" w:name="_Toc35393795"/>
      <w:r/>
      <w:bookmarkStart w:id="24" w:name="_Toc35393626"/>
      <w:r/>
      <w:bookmarkStart w:id="25" w:name="_Toc38985268"/>
      <w:r>
        <w:rPr>
          <w:rFonts w:hint="eastAsia" w:ascii="宋体" w:hAnsi="宋体" w:eastAsia="宋体" w:cs="宋体"/>
          <w:b/>
          <w:color w:val="auto"/>
          <w:sz w:val="24"/>
          <w:szCs w:val="24"/>
          <w:highlight w:val="none"/>
          <w:lang w:val="en-US" w:eastAsia="zh-CN"/>
        </w:rPr>
        <w:t xml:space="preserve">五、开启</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1.时间：2026年5月29日09点00分（北京时间）。</w:t>
      </w:r>
      <w:bookmarkEnd w:id="23"/>
      <w:r/>
      <w:bookmarkEnd w:id="24"/>
      <w:r/>
      <w:bookmarkEnd w:id="25"/>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26" w:name="_Toc28359094"/>
      <w:r>
        <w:rPr>
          <w:rFonts w:hint="eastAsia" w:ascii="宋体" w:hAnsi="宋体" w:eastAsia="宋体" w:cs="宋体"/>
          <w:b/>
          <w:color w:val="auto"/>
          <w:sz w:val="24"/>
          <w:szCs w:val="24"/>
          <w:highlight w:val="none"/>
          <w:lang w:val="en-US" w:eastAsia="zh-CN"/>
        </w:rPr>
        <w:t xml:space="preserve">六、公告期限</w:t>
      </w:r>
      <w:bookmarkEnd w:id="26"/>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自本公告发布之日起5个工作日。</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七、其他补充事宜</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bookmarkStart w:id="27" w:name="_Toc28359018"/>
      <w:r>
        <w:rPr>
          <w:rFonts w:hint="eastAsia"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有关本次磋商的事项若存在变动或修改，敬请及时关注射阳县行政服务中心在“中国政府采购网”、“江苏政府采购网”、“盐城市政府采购网”发布的更正公告。</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本次磋商不收取磋商保证金，不收取质量保证金。</w:t>
      </w:r>
      <w:r/>
    </w:p>
    <w:p>
      <w:pPr>
        <w:pStyle w:val="729"/>
        <w:ind w:right="0" w:firstLine="48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4.电子投标文件一份(通过系统提交)；纸质投标文件正本一份，副本三份（评审结束后由中标候选人邮寄至采购代理机构，未中标单位不需要提供）。</w:t>
      </w:r>
      <w:r/>
    </w:p>
    <w:p>
      <w:pPr>
        <w:pStyle w:val="729"/>
        <w:ind w:firstLine="482"/>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八、凡对本次采购提出询问，请按以下方式联系。</w:t>
      </w:r>
      <w:bookmarkEnd w:id="27"/>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称：射阳县人民法院</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址：射阳县合德镇解放西路</w:t>
      </w:r>
      <w:r/>
    </w:p>
    <w:p>
      <w:pPr>
        <w:ind w:firstLine="480"/>
        <w:keepLines w:val="0"/>
        <w:keepNext w:val="0"/>
        <w:pageBreakBefore w:val="0"/>
        <w:spacing w:line="50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联系人：茅科长</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联系方式：0515-69220099</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2.采购代理机构信息</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w:t>
      </w:r>
      <w:r>
        <w:rPr>
          <w:rFonts w:hint="eastAsia" w:ascii="宋体" w:hAnsi="宋体" w:eastAsia="宋体" w:cs="宋体"/>
          <w:color w:val="000000"/>
          <w:sz w:val="24"/>
          <w:szCs w:val="24"/>
          <w:lang w:val="en-US" w:eastAsia="zh-Hans"/>
        </w:rPr>
        <w:t xml:space="preserve">射阳县行政服务中心</w:t>
      </w:r>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址：盐城市射阳县幸福大道16号</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 系 人：彭明静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w:t>
      </w:r>
      <w:bookmarkStart w:id="28" w:name="_Toc28359087"/>
      <w:r/>
      <w:bookmarkStart w:id="29" w:name="_Toc28359010"/>
      <w:r>
        <w:rPr>
          <w:rFonts w:hint="eastAsia" w:ascii="宋体" w:hAnsi="宋体" w:eastAsia="宋体" w:cs="宋体"/>
          <w:color w:val="000000"/>
          <w:sz w:val="24"/>
          <w:szCs w:val="24"/>
          <w:lang w:val="en-US" w:eastAsia="zh-CN"/>
        </w:rPr>
        <w:t xml:space="preserve">0515-82309113    </w:t>
      </w:r>
      <w:bookmarkEnd w:id="28"/>
      <w:r/>
      <w:bookmarkEnd w:id="29"/>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bookmarkStart w:id="30" w:name="_Toc28359021"/>
      <w:r>
        <w:rPr>
          <w:rFonts w:hint="eastAsia" w:ascii="宋体" w:hAnsi="宋体" w:eastAsia="宋体" w:cs="宋体"/>
          <w:color w:val="000000"/>
          <w:sz w:val="24"/>
          <w:szCs w:val="24"/>
          <w:lang w:val="en-US" w:eastAsia="zh-CN"/>
        </w:rPr>
        <w:t xml:space="preserve">3.</w:t>
      </w:r>
      <w:bookmarkEnd w:id="30"/>
      <w:r>
        <w:rPr>
          <w:rFonts w:hint="eastAsia" w:ascii="宋体" w:hAnsi="宋体" w:eastAsia="宋体" w:cs="宋体"/>
          <w:color w:val="000000"/>
          <w:sz w:val="24"/>
          <w:szCs w:val="24"/>
          <w:lang w:val="en-US" w:eastAsia="zh-CN"/>
        </w:rPr>
        <w:t xml:space="preserve">项目联系方式</w:t>
      </w:r>
      <w:r/>
    </w:p>
    <w:p>
      <w:pPr>
        <w:ind w:firstLine="480"/>
        <w:keepLines w:val="0"/>
        <w:keepNext w:val="0"/>
        <w:pageBreakBefore w:val="0"/>
        <w:spacing w:line="50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联系人：茅科长</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联系方式：0515-69220099</w:t>
      </w:r>
      <w:r/>
    </w:p>
    <w:p>
      <w:pPr>
        <w:ind w:firstLine="480"/>
        <w:keepLines w:val="0"/>
        <w:keepNext w:val="0"/>
        <w:pageBreakBefore w:val="0"/>
        <w:spacing w:line="500" w:lineRule="exact"/>
        <w:widowControl/>
      </w:pPr>
      <w:r>
        <w:rPr>
          <w:rFonts w:hint="eastAsia" w:ascii="仿宋" w:hAnsi="仿宋" w:eastAsia="仿宋" w:cs="仿宋"/>
          <w:i w:val="0"/>
          <w:iCs w:val="0"/>
          <w:caps w:val="0"/>
          <w:color w:val="333333"/>
          <w:spacing w:val="0"/>
          <w:sz w:val="28"/>
          <w:szCs w:val="28"/>
          <w:shd w:val="clear" w:color="auto" w:fill="ffffff"/>
          <w:lang w:val="en-US" w:eastAsia="zh-CN"/>
        </w:rPr>
        <w:t xml:space="preserve">　　　　　　　</w:t>
      </w:r>
      <w:bookmarkStart w:id="31" w:name="_Toc120614211"/>
      <w:r>
        <w:rPr>
          <w:rFonts w:hint="eastAsia" w:ascii="黑体" w:hAnsi="宋体" w:eastAsia="黑体" w:cs="黑体"/>
          <w:b/>
          <w:color w:val="000000"/>
          <w:sz w:val="44"/>
          <w:szCs w:val="44"/>
        </w:rPr>
        <w:t xml:space="preserve">第二章  </w:t>
      </w:r>
      <w:bookmarkEnd w:id="31"/>
      <w:r>
        <w:rPr>
          <w:rFonts w:hint="eastAsia" w:ascii="黑体" w:hAnsi="宋体" w:eastAsia="黑体" w:cs="黑体"/>
          <w:b/>
          <w:color w:val="000000"/>
          <w:sz w:val="44"/>
          <w:szCs w:val="44"/>
        </w:rPr>
        <w:t xml:space="preserve">供应商须知</w:t>
      </w:r>
      <w:r/>
    </w:p>
    <w:p>
      <w:pPr>
        <w:pStyle w:val="729"/>
        <w:ind w:firstLine="498"/>
        <w:jc w:val="both"/>
        <w:keepLines/>
        <w:keepNext/>
        <w:pageBreakBefore w:val="0"/>
        <w:spacing w:beforeAutospacing="0" w:afterAutospacing="0" w:line="500" w:lineRule="exact"/>
        <w:widowControl w:val="off"/>
      </w:pPr>
      <w:r/>
      <w:bookmarkStart w:id="32" w:name="_Toc20823275"/>
      <w:r/>
      <w:bookmarkStart w:id="33" w:name="_Toc16938519"/>
      <w:r/>
      <w:bookmarkStart w:id="34" w:name="_Toc513029203"/>
      <w:r/>
      <w:bookmarkStart w:id="35" w:name="_Toc120614214"/>
      <w:r>
        <w:rPr>
          <w:rFonts w:ascii="Times New Roman" w:hAnsi="Times New Roman"/>
          <w:b/>
          <w:color w:val="000000"/>
          <w:sz w:val="32"/>
          <w:szCs w:val="32"/>
        </w:rPr>
        <w:t xml:space="preserve">一、总则</w:t>
      </w:r>
      <w:bookmarkEnd w:id="32"/>
      <w:r/>
      <w:bookmarkEnd w:id="33"/>
      <w:r/>
      <w:bookmarkEnd w:id="34"/>
      <w:r/>
      <w:bookmarkEnd w:id="35"/>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36" w:name="_Toc20823276"/>
      <w:r/>
      <w:bookmarkStart w:id="37" w:name="_Toc16938520"/>
      <w:r/>
      <w:bookmarkStart w:id="38" w:name="_Toc513029204"/>
      <w:r/>
      <w:bookmarkStart w:id="39" w:name="_Toc458694821"/>
      <w:r/>
      <w:bookmarkStart w:id="40" w:name="_Hlt16619475"/>
      <w:r>
        <w:rPr>
          <w:rFonts w:hint="eastAsia" w:ascii="宋体" w:hAnsi="宋体" w:eastAsia="宋体" w:cs="宋体"/>
          <w:color w:val="auto"/>
          <w:sz w:val="24"/>
          <w:szCs w:val="24"/>
          <w:highlight w:val="none"/>
          <w:lang w:val="en-US" w:eastAsia="zh-CN"/>
        </w:rPr>
        <w:t xml:space="preserve">1</w:t>
      </w:r>
      <w:bookmarkEnd w:id="36"/>
      <w:r>
        <w:rPr>
          <w:rFonts w:hint="eastAsia" w:ascii="宋体" w:hAnsi="宋体" w:eastAsia="宋体" w:cs="宋体"/>
          <w:color w:val="auto"/>
          <w:sz w:val="24"/>
          <w:szCs w:val="24"/>
          <w:highlight w:val="none"/>
          <w:lang w:val="en-US" w:eastAsia="zh-CN"/>
        </w:rPr>
        <w:t xml:space="preserve">、采购方式</w:t>
      </w:r>
      <w:bookmarkEnd w:id="37"/>
      <w:r/>
      <w:bookmarkEnd w:id="38"/>
      <w:r/>
      <w:bookmarkEnd w:id="39"/>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本次政府采购活动采取竞争性磋商(以下简称磋商)方式，本磋商文件仅适用于磋商公告中所述项目。</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1" w:name="_Toc513029205"/>
      <w:r/>
      <w:bookmarkStart w:id="42" w:name="_Toc16938521"/>
      <w:r/>
      <w:bookmarkStart w:id="43" w:name="_Toc20823277"/>
      <w:r>
        <w:rPr>
          <w:rFonts w:hint="eastAsia" w:ascii="宋体" w:hAnsi="宋体" w:eastAsia="宋体" w:cs="宋体"/>
          <w:color w:val="auto"/>
          <w:sz w:val="24"/>
          <w:szCs w:val="24"/>
          <w:highlight w:val="none"/>
          <w:lang w:val="en-US" w:eastAsia="zh-CN"/>
        </w:rPr>
        <w:t xml:space="preserve">2、合格的</w:t>
      </w:r>
      <w:bookmarkEnd w:id="41"/>
      <w:r/>
      <w:bookmarkEnd w:id="42"/>
      <w:r/>
      <w:bookmarkEnd w:id="43"/>
      <w:r>
        <w:rPr>
          <w:rFonts w:hint="eastAsia" w:ascii="宋体" w:hAnsi="宋体" w:eastAsia="宋体" w:cs="宋体"/>
          <w:color w:val="auto"/>
          <w:sz w:val="24"/>
          <w:szCs w:val="24"/>
          <w:highlight w:val="none"/>
          <w:lang w:val="en-US" w:eastAsia="zh-CN"/>
        </w:rPr>
        <w:t xml:space="preserve">供应商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2.1满足磋商公告中供应商资格要求的规定。</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满足本磋商文件实质性要求和条件的规定。</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4" w:name="_Toc16938522"/>
      <w:r/>
      <w:bookmarkStart w:id="45" w:name="_Toc20823278"/>
      <w:r/>
      <w:bookmarkStart w:id="46" w:name="_Toc513029206"/>
      <w:r>
        <w:rPr>
          <w:rFonts w:hint="eastAsia" w:ascii="宋体" w:hAnsi="宋体" w:eastAsia="宋体" w:cs="宋体"/>
          <w:color w:val="auto"/>
          <w:sz w:val="24"/>
          <w:szCs w:val="24"/>
          <w:highlight w:val="none"/>
          <w:lang w:val="en-US" w:eastAsia="zh-CN"/>
        </w:rPr>
        <w:t xml:space="preserve">3、适用法律</w:t>
      </w:r>
      <w:bookmarkEnd w:id="44"/>
      <w:r/>
      <w:bookmarkEnd w:id="45"/>
      <w:r/>
      <w:bookmarkEnd w:id="46"/>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本次磋商及由此产生的合同受中华人民共和国有关的法律法规制约和保护。</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7" w:name="_Toc462564067"/>
      <w:r/>
      <w:bookmarkStart w:id="48" w:name="_Toc20823279"/>
      <w:r/>
      <w:bookmarkStart w:id="49" w:name="_Toc513029207"/>
      <w:r/>
      <w:bookmarkStart w:id="50" w:name="_Toc16938523"/>
      <w:r>
        <w:rPr>
          <w:rFonts w:hint="eastAsia" w:ascii="宋体" w:hAnsi="宋体" w:eastAsia="宋体" w:cs="宋体"/>
          <w:color w:val="auto"/>
          <w:sz w:val="24"/>
          <w:szCs w:val="24"/>
          <w:highlight w:val="none"/>
          <w:lang w:val="en-US" w:eastAsia="zh-CN"/>
        </w:rPr>
        <w:t xml:space="preserve">4、磋商费用</w:t>
      </w:r>
      <w:bookmarkEnd w:id="47"/>
      <w:r/>
      <w:bookmarkEnd w:id="48"/>
      <w:r/>
      <w:bookmarkEnd w:id="49"/>
      <w:r/>
      <w:bookmarkEnd w:id="50"/>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4.1供应商应自行承担所有与参加本次磋商有关的费用，无论磋商过程中的做法和结果如何，射阳县行政服务中心（以下简称采购中心）在任何情况下均无义务和责任承担这些费用。</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4.2本次磋商采购中心和采购人不收取标书工本费。</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5、磋商文件的约束力</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5.1供应商一旦参加本项目采购活动，即被认为接受了本磋商文件的规定和约束。</w:t>
      </w:r>
      <w:r/>
    </w:p>
    <w:p>
      <w:pPr>
        <w:pStyle w:val="729"/>
        <w:ind w:firstLine="321"/>
        <w:jc w:val="both"/>
        <w:keepLines/>
        <w:keepNext/>
        <w:pageBreakBefore w:val="0"/>
        <w:spacing w:beforeAutospacing="0" w:afterAutospacing="0" w:line="500" w:lineRule="exact"/>
        <w:widowControl w:val="off"/>
      </w:pPr>
      <w:r/>
      <w:bookmarkStart w:id="51" w:name="_Toc20823281"/>
      <w:r/>
      <w:bookmarkStart w:id="52" w:name="_Toc120614215"/>
      <w:r/>
      <w:bookmarkStart w:id="53" w:name="_Toc513029209"/>
      <w:r/>
      <w:bookmarkStart w:id="54" w:name="_Toc16938525"/>
      <w:r>
        <w:rPr>
          <w:rFonts w:ascii="Times New Roman" w:hAnsi="Times New Roman"/>
          <w:b/>
          <w:color w:val="000000"/>
          <w:sz w:val="32"/>
          <w:szCs w:val="32"/>
        </w:rPr>
        <w:t xml:space="preserve">二、</w:t>
      </w:r>
      <w:bookmarkEnd w:id="51"/>
      <w:r/>
      <w:bookmarkEnd w:id="52"/>
      <w:r/>
      <w:bookmarkEnd w:id="53"/>
      <w:r/>
      <w:bookmarkEnd w:id="54"/>
      <w:r>
        <w:rPr>
          <w:rFonts w:ascii="Times New Roman" w:hAnsi="Times New Roman"/>
          <w:b/>
          <w:color w:val="000000"/>
          <w:sz w:val="32"/>
          <w:szCs w:val="32"/>
        </w:rPr>
        <w:t xml:space="preserve">磋商文件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55" w:name="_Toc20823282"/>
      <w:r/>
      <w:bookmarkStart w:id="56" w:name="_Toc16938526"/>
      <w:r/>
      <w:bookmarkStart w:id="57" w:name="_Toc513029210"/>
      <w:r>
        <w:rPr>
          <w:rFonts w:hint="eastAsia" w:ascii="宋体" w:hAnsi="宋体" w:eastAsia="宋体" w:cs="宋体"/>
          <w:color w:val="auto"/>
          <w:sz w:val="24"/>
          <w:szCs w:val="24"/>
          <w:highlight w:val="none"/>
          <w:lang w:val="en-US" w:eastAsia="zh-CN"/>
        </w:rPr>
        <w:t xml:space="preserve">6、磋商文件构成</w:t>
      </w:r>
      <w:bookmarkEnd w:id="55"/>
      <w:r/>
      <w:bookmarkEnd w:id="56"/>
      <w:r/>
      <w:bookmarkEnd w:id="57"/>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6.1磋商文件由以下部分组成：</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磋商公告</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（2）供应商须知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（3）合同文本</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（4）采购需求</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（5）评审方法与评审标准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（6）响应文件格式</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请仔细检查磋商文件是否齐全，如有缺漏请立即与采购中心联系解决。</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58" w:name="_Toc20823283"/>
      <w:r/>
      <w:bookmarkStart w:id="59" w:name="_Toc462564070"/>
      <w:r/>
      <w:bookmarkStart w:id="60" w:name="_Toc16938527"/>
      <w:r/>
      <w:bookmarkStart w:id="61" w:name="_Toc513029211"/>
      <w:r>
        <w:rPr>
          <w:rFonts w:hint="eastAsia" w:ascii="宋体" w:hAnsi="宋体" w:eastAsia="宋体" w:cs="宋体"/>
          <w:color w:val="auto"/>
          <w:sz w:val="24"/>
          <w:szCs w:val="24"/>
          <w:highlight w:val="none"/>
          <w:lang w:val="en-US" w:eastAsia="zh-CN"/>
        </w:rPr>
        <w:t xml:space="preserve">7、磋商文件的澄清</w:t>
      </w:r>
      <w:bookmarkEnd w:id="58"/>
      <w:r/>
      <w:bookmarkEnd w:id="59"/>
      <w:r/>
      <w:bookmarkEnd w:id="60"/>
      <w:r/>
      <w:bookmarkEnd w:id="61"/>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 任何要求对磋商文件进行澄清的供应商，应在磋商截止期5日前按磋商公告中的通讯地址，以书面形式通知采购中心。</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62" w:name="_Toc462564071"/>
      <w:r/>
      <w:bookmarkStart w:id="63" w:name="_Toc16938528"/>
      <w:r/>
      <w:bookmarkStart w:id="64" w:name="_Toc20823284"/>
      <w:r/>
      <w:bookmarkStart w:id="65" w:name="_Toc513029212"/>
      <w:r>
        <w:rPr>
          <w:rFonts w:hint="eastAsia" w:ascii="宋体" w:hAnsi="宋体" w:eastAsia="宋体" w:cs="宋体"/>
          <w:color w:val="auto"/>
          <w:sz w:val="24"/>
          <w:szCs w:val="24"/>
          <w:highlight w:val="none"/>
          <w:lang w:val="en-US" w:eastAsia="zh-CN"/>
        </w:rPr>
        <w:t xml:space="preserve">8、磋商文件的澄清和修改</w:t>
      </w:r>
      <w:bookmarkEnd w:id="62"/>
      <w:r/>
      <w:bookmarkEnd w:id="63"/>
      <w:r/>
      <w:bookmarkEnd w:id="64"/>
      <w:r/>
      <w:bookmarkEnd w:id="65"/>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更正公告内容将作为磋商文件的组成部分，并对供应商具有约束力。不足5日的，采购中心将顺延提交首次响应文件截止时间。</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8.2采购中心可以视采购项目的具体情况，组织供应商进行现场考察或召开磋商前答疑会，但不单独或分别组织只有一个供应商参加的现场考察和答疑会。</w:t>
      </w:r>
      <w:r/>
    </w:p>
    <w:p>
      <w:pPr>
        <w:pStyle w:val="729"/>
        <w:ind w:firstLine="482"/>
        <w:jc w:val="both"/>
        <w:keepLines/>
        <w:keepNext/>
        <w:pageBreakBefore w:val="0"/>
        <w:spacing w:beforeAutospacing="0" w:afterAutospacing="0" w:line="500" w:lineRule="exact"/>
        <w:widowControl w:val="off"/>
      </w:pPr>
      <w:r/>
      <w:bookmarkStart w:id="66" w:name="_Toc20823285"/>
      <w:r/>
      <w:bookmarkStart w:id="67" w:name="_Toc513029213"/>
      <w:r/>
      <w:bookmarkStart w:id="68" w:name="_Toc462564072"/>
      <w:r/>
      <w:bookmarkStart w:id="69" w:name="_Toc120614216"/>
      <w:r/>
      <w:bookmarkStart w:id="70" w:name="_Toc16938529"/>
      <w:r>
        <w:rPr>
          <w:rFonts w:ascii="Times New Roman" w:hAnsi="Times New Roman"/>
          <w:b/>
          <w:color w:val="000000"/>
          <w:sz w:val="32"/>
          <w:szCs w:val="32"/>
        </w:rPr>
        <w:t xml:space="preserve">三、响应文件的编制</w:t>
      </w:r>
      <w:bookmarkEnd w:id="66"/>
      <w:r/>
      <w:bookmarkEnd w:id="67"/>
      <w:r/>
      <w:bookmarkEnd w:id="68"/>
      <w:r/>
      <w:bookmarkEnd w:id="69"/>
      <w:r/>
      <w:bookmarkEnd w:id="70"/>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1" w:name="_Toc16938530"/>
      <w:r/>
      <w:bookmarkStart w:id="72" w:name="_Toc462564073"/>
      <w:r/>
      <w:bookmarkStart w:id="73" w:name="_Toc20823286"/>
      <w:r/>
      <w:bookmarkStart w:id="74" w:name="_Toc513029214"/>
      <w:r>
        <w:rPr>
          <w:rFonts w:hint="eastAsia" w:ascii="宋体" w:hAnsi="宋体" w:eastAsia="宋体" w:cs="宋体"/>
          <w:color w:val="auto"/>
          <w:sz w:val="24"/>
          <w:szCs w:val="24"/>
          <w:highlight w:val="none"/>
          <w:lang w:val="en-US" w:eastAsia="zh-CN"/>
        </w:rPr>
        <w:t xml:space="preserve">9、响应文件的语言及度量衡单位</w:t>
      </w:r>
      <w:bookmarkEnd w:id="71"/>
      <w:r/>
      <w:bookmarkEnd w:id="72"/>
      <w:r/>
      <w:bookmarkEnd w:id="73"/>
      <w:r/>
      <w:bookmarkEnd w:id="74"/>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9.1供应商提交的响应文件以及供应商与采购中心就有关磋商的所有来往通知、函件和文件均应使用简体中文。</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 除技术性能另有规定外，响应文件所使用的度量衡单位，均须采用国家法定计量单位。</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5" w:name="_Toc16938531"/>
      <w:r/>
      <w:bookmarkStart w:id="76" w:name="_Toc462564074"/>
      <w:r/>
      <w:bookmarkStart w:id="77" w:name="_Toc20823287"/>
      <w:r/>
      <w:bookmarkStart w:id="78" w:name="_Toc513029215"/>
      <w:r>
        <w:rPr>
          <w:rFonts w:hint="eastAsia" w:ascii="宋体" w:hAnsi="宋体" w:eastAsia="宋体" w:cs="宋体"/>
          <w:color w:val="auto"/>
          <w:sz w:val="24"/>
          <w:szCs w:val="24"/>
          <w:highlight w:val="none"/>
          <w:lang w:val="en-US" w:eastAsia="zh-CN"/>
        </w:rPr>
        <w:t xml:space="preserve">10、响应文件构成</w:t>
      </w:r>
      <w:bookmarkEnd w:id="75"/>
      <w:r/>
      <w:bookmarkEnd w:id="76"/>
      <w:r/>
      <w:bookmarkEnd w:id="77"/>
      <w:r/>
      <w:bookmarkEnd w:id="78"/>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10.1供应商编写的响应文件应包括资格证明文件、符合性证明文件、分项报价表、技术要求响应及偏离表、商务要求响应及偏离表、其他证明文件、磋商响应函等部分。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9" w:name="_Toc49090508"/>
      <w:r/>
      <w:bookmarkStart w:id="80" w:name="_Toc513029219"/>
      <w:r/>
      <w:bookmarkStart w:id="81" w:name="_Toc49090507"/>
      <w:r/>
      <w:bookmarkStart w:id="82" w:name="_Toc513029216"/>
      <w:r/>
      <w:bookmarkStart w:id="83" w:name="_Toc14577354"/>
      <w:r/>
      <w:bookmarkStart w:id="84" w:name="_Toc49090509"/>
      <w:r/>
      <w:bookmarkStart w:id="85" w:name="_Toc14577357"/>
      <w:r/>
      <w:bookmarkStart w:id="86" w:name="_Toc14577355"/>
      <w:r/>
      <w:bookmarkStart w:id="87" w:name="_Hlt26954838"/>
      <w:r/>
      <w:bookmarkStart w:id="88" w:name="_Hlt26668975"/>
      <w:r/>
      <w:bookmarkStart w:id="89" w:name="_Hlt26670360"/>
      <w:r>
        <w:rPr>
          <w:rFonts w:hint="eastAsia" w:ascii="宋体" w:hAnsi="宋体" w:eastAsia="宋体" w:cs="宋体"/>
          <w:color w:val="auto"/>
          <w:sz w:val="24"/>
          <w:szCs w:val="24"/>
          <w:highlight w:val="none"/>
          <w:lang w:val="en-US" w:eastAsia="zh-CN"/>
        </w:rPr>
        <w:t xml:space="preserve">11、证明磋商响应标的符合磋商文件规定的文件</w:t>
      </w:r>
      <w:bookmarkEnd w:id="79"/>
      <w:r/>
      <w:bookmarkEnd w:id="80"/>
      <w:r/>
      <w:bookmarkEnd w:id="81"/>
      <w:r/>
      <w:bookmarkEnd w:id="82"/>
      <w:r/>
      <w:bookmarkEnd w:id="83"/>
      <w:r/>
      <w:bookmarkEnd w:id="84"/>
      <w:r/>
      <w:bookmarkEnd w:id="85"/>
      <w:r/>
      <w:bookmarkEnd w:id="86"/>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11.1供应商应按照磋商文件要求提交证明文件，证明其及磋商响应标的符合磋商文件规定。</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11.2磋商文件对证明文件无明确形式要求的，证明文件可以以文字资料、图纸和数据等形式提交。</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0" w:name="_Hlt26670486"/>
      <w:r/>
      <w:bookmarkStart w:id="91" w:name="_Hlt26954848"/>
      <w:r/>
      <w:bookmarkStart w:id="92" w:name="_Hlt26670482"/>
      <w:r/>
      <w:bookmarkStart w:id="93" w:name="_Hlt26954846"/>
      <w:r/>
      <w:bookmarkStart w:id="94" w:name="_Hlt26954731"/>
      <w:r>
        <w:rPr>
          <w:rFonts w:hint="eastAsia" w:ascii="宋体" w:hAnsi="宋体" w:eastAsia="宋体" w:cs="宋体"/>
          <w:color w:val="auto"/>
          <w:sz w:val="24"/>
          <w:szCs w:val="24"/>
          <w:highlight w:val="none"/>
          <w:lang w:val="en-US" w:eastAsia="zh-CN"/>
        </w:rPr>
        <w:t xml:space="preserve">12、投标分项报价表</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12.1投标人应按照招标文件规定格式填报投标分项报价表。</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12.2投标货币。投标文件中的单价和总价无特殊规定的采用人民币报价，以元为单位标注。招标文件中另有规定的按规定执行。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投标配置和分项明细报价，不仅应包括所有人员的工资、法定节假日加班费、社保、公积金、福利费，还应包括：管理、劳务、培训、意外伤害险、税金、合理利润及政策性文件规定等各项应有费用，以及为完成招标文件规定的安保服务工作所涉及到的一切相关费用。</w:t>
      </w:r>
      <w:r/>
    </w:p>
    <w:p>
      <w:pPr>
        <w:ind w:left="0" w:firstLine="482"/>
        <w:pageBreakBefore w:val="0"/>
        <w:spacing w:line="500" w:lineRule="exact"/>
        <w:widowControl w:val="off"/>
        <w:rPr>
          <w:rFonts w:hint="default" w:ascii="宋体" w:hAnsi="宋体" w:eastAsia="宋体" w:cs="宋体"/>
          <w:b/>
          <w:bCs/>
          <w:i/>
          <w:iCs/>
          <w:color w:val="0000ff"/>
          <w:sz w:val="24"/>
          <w:szCs w:val="24"/>
          <w:highlight w:val="none"/>
          <w:lang w:val="en-US" w:eastAsia="zh-CN"/>
        </w:rPr>
      </w:pPr>
      <w:r>
        <w:rPr>
          <w:rFonts w:hint="eastAsia" w:ascii="宋体" w:hAnsi="宋体" w:eastAsia="宋体" w:cs="宋体"/>
          <w:b/>
          <w:bCs/>
          <w:i/>
          <w:iCs/>
          <w:color w:val="auto"/>
          <w:sz w:val="24"/>
          <w:szCs w:val="24"/>
          <w:highlight w:val="none"/>
        </w:rPr>
        <w:t xml:space="preserve">12.4</w:t>
      </w:r>
      <w:r>
        <w:rPr>
          <w:rFonts w:hint="eastAsia" w:ascii="宋体" w:hAnsi="宋体" w:eastAsia="宋体" w:cs="宋体"/>
          <w:b/>
          <w:bCs/>
          <w:i/>
          <w:iCs/>
          <w:color w:val="0000ff"/>
          <w:sz w:val="24"/>
          <w:szCs w:val="24"/>
          <w:highlight w:val="none"/>
          <w:lang w:val="en-US" w:eastAsia="zh-CN"/>
        </w:rPr>
        <w:t xml:space="preserve">所有</w:t>
      </w:r>
      <w:r>
        <w:rPr>
          <w:rFonts w:hint="eastAsia" w:ascii="宋体" w:hAnsi="宋体" w:eastAsia="宋体" w:cs="宋体"/>
          <w:b/>
          <w:bCs/>
          <w:i/>
          <w:iCs/>
          <w:color w:val="0000ff"/>
          <w:sz w:val="24"/>
          <w:szCs w:val="24"/>
          <w:highlight w:val="none"/>
          <w:lang w:val="zh-CN"/>
        </w:rPr>
        <w:t xml:space="preserve">人员工资不低于本</w:t>
      </w:r>
      <w:r>
        <w:rPr>
          <w:rFonts w:hint="eastAsia" w:ascii="宋体" w:hAnsi="宋体" w:eastAsia="宋体" w:cs="宋体"/>
          <w:b/>
          <w:bCs/>
          <w:i/>
          <w:iCs/>
          <w:color w:val="0000ff"/>
          <w:sz w:val="24"/>
          <w:szCs w:val="24"/>
          <w:highlight w:val="none"/>
          <w:lang w:val="en-US" w:eastAsia="zh-CN"/>
        </w:rPr>
        <w:t xml:space="preserve">县</w:t>
      </w:r>
      <w:r>
        <w:rPr>
          <w:rFonts w:hint="eastAsia" w:ascii="宋体" w:hAnsi="宋体" w:eastAsia="宋体" w:cs="宋体"/>
          <w:b/>
          <w:bCs/>
          <w:i/>
          <w:iCs/>
          <w:color w:val="0000ff"/>
          <w:sz w:val="24"/>
          <w:szCs w:val="24"/>
          <w:highlight w:val="none"/>
          <w:lang w:val="zh-CN"/>
        </w:rPr>
        <w:t xml:space="preserve">最低工资标准</w:t>
      </w:r>
      <w:r>
        <w:rPr>
          <w:rFonts w:hint="eastAsia" w:ascii="宋体" w:hAnsi="宋体" w:eastAsia="宋体" w:cs="宋体"/>
          <w:b/>
          <w:bCs/>
          <w:i/>
          <w:iCs/>
          <w:color w:val="0000ff"/>
          <w:sz w:val="24"/>
          <w:szCs w:val="24"/>
          <w:highlight w:val="none"/>
          <w:lang w:val="en-US" w:eastAsia="zh-CN"/>
        </w:rPr>
        <w:t xml:space="preserve">2180.00</w:t>
      </w:r>
      <w:r>
        <w:rPr>
          <w:rFonts w:hint="eastAsia" w:ascii="宋体" w:hAnsi="宋体" w:eastAsia="宋体" w:cs="宋体"/>
          <w:b/>
          <w:bCs/>
          <w:i/>
          <w:iCs/>
          <w:color w:val="0000ff"/>
          <w:sz w:val="24"/>
          <w:szCs w:val="24"/>
          <w:highlight w:val="none"/>
          <w:lang w:val="zh-CN"/>
        </w:rPr>
        <w:t xml:space="preserve">元/人</w:t>
      </w:r>
      <w:r>
        <w:rPr>
          <w:rFonts w:hint="eastAsia" w:ascii="宋体" w:hAnsi="宋体" w:eastAsia="宋体" w:cs="宋体"/>
          <w:b/>
          <w:bCs/>
          <w:i/>
          <w:iCs/>
          <w:color w:val="0000ff"/>
          <w:sz w:val="24"/>
          <w:szCs w:val="24"/>
          <w:highlight w:val="none"/>
          <w:lang w:val="en-US" w:eastAsia="zh-CN"/>
        </w:rPr>
        <w:t xml:space="preserve">/</w:t>
      </w:r>
      <w:r>
        <w:rPr>
          <w:rFonts w:hint="eastAsia" w:ascii="宋体" w:hAnsi="宋体" w:eastAsia="宋体" w:cs="宋体"/>
          <w:b/>
          <w:bCs/>
          <w:i/>
          <w:iCs/>
          <w:color w:val="0000ff"/>
          <w:sz w:val="24"/>
          <w:szCs w:val="24"/>
          <w:highlight w:val="none"/>
          <w:lang w:val="zh-CN"/>
        </w:rPr>
        <w:t xml:space="preserve">每月，所有人员必须足额缴纳社保费用，社保（企业部分）不得低于</w:t>
      </w:r>
      <w:r>
        <w:rPr>
          <w:rFonts w:hint="eastAsia" w:ascii="宋体" w:hAnsi="宋体" w:eastAsia="宋体" w:cs="宋体"/>
          <w:b/>
          <w:bCs/>
          <w:i/>
          <w:iCs/>
          <w:color w:val="0000ff"/>
          <w:sz w:val="24"/>
          <w:szCs w:val="24"/>
          <w:highlight w:val="none"/>
          <w:lang w:val="zh-CN" w:eastAsia="zh-CN"/>
        </w:rPr>
        <w:t xml:space="preserve">1292.47</w:t>
      </w:r>
      <w:r>
        <w:rPr>
          <w:rFonts w:hint="eastAsia" w:ascii="宋体" w:hAnsi="宋体" w:eastAsia="宋体" w:cs="宋体"/>
          <w:b/>
          <w:bCs/>
          <w:i/>
          <w:iCs/>
          <w:color w:val="0000ff"/>
          <w:sz w:val="24"/>
          <w:szCs w:val="24"/>
          <w:highlight w:val="none"/>
          <w:lang w:val="zh-CN"/>
        </w:rPr>
        <w:t xml:space="preserve">元/人/每月，</w:t>
      </w:r>
      <w:r>
        <w:rPr>
          <w:rFonts w:hint="eastAsia" w:ascii="宋体" w:hAnsi="宋体" w:eastAsia="宋体" w:cs="宋体"/>
          <w:b/>
          <w:bCs/>
          <w:i/>
          <w:iCs/>
          <w:color w:val="0000ff"/>
          <w:sz w:val="24"/>
          <w:szCs w:val="24"/>
          <w:highlight w:val="none"/>
          <w:lang w:val="zh-CN" w:eastAsia="zh-CN"/>
        </w:rPr>
        <w:t xml:space="preserve">另</w:t>
      </w:r>
      <w:r>
        <w:rPr>
          <w:rFonts w:hint="eastAsia" w:ascii="宋体" w:hAnsi="宋体" w:eastAsia="宋体" w:cs="宋体"/>
          <w:b/>
          <w:bCs/>
          <w:i/>
          <w:iCs/>
          <w:color w:val="0000ff"/>
          <w:sz w:val="24"/>
          <w:szCs w:val="24"/>
          <w:highlight w:val="none"/>
          <w:lang w:val="en-US" w:eastAsia="zh-CN"/>
        </w:rPr>
        <w:t xml:space="preserve">项目负责人</w:t>
      </w:r>
      <w:r>
        <w:rPr>
          <w:rFonts w:hint="eastAsia" w:ascii="宋体" w:hAnsi="宋体" w:eastAsia="宋体" w:cs="宋体"/>
          <w:b/>
          <w:bCs/>
          <w:i/>
          <w:iCs/>
          <w:color w:val="0000ff"/>
          <w:sz w:val="24"/>
          <w:szCs w:val="24"/>
          <w:highlight w:val="none"/>
          <w:lang w:val="zh-CN" w:eastAsia="zh-CN"/>
        </w:rPr>
        <w:t xml:space="preserve">职务费2400元/年，</w:t>
      </w:r>
      <w:r>
        <w:rPr>
          <w:rFonts w:hint="eastAsia" w:ascii="宋体" w:hAnsi="宋体" w:eastAsia="宋体" w:cs="宋体"/>
          <w:b/>
          <w:bCs/>
          <w:i/>
          <w:iCs/>
          <w:color w:val="0000ff"/>
          <w:sz w:val="24"/>
          <w:szCs w:val="24"/>
          <w:highlight w:val="none"/>
          <w:lang w:val="zh-CN"/>
        </w:rPr>
        <w:t xml:space="preserve">住房公积金不得低于</w:t>
      </w:r>
      <w:r>
        <w:rPr>
          <w:rFonts w:hint="eastAsia" w:ascii="宋体" w:hAnsi="宋体" w:eastAsia="宋体" w:cs="宋体"/>
          <w:b/>
          <w:bCs/>
          <w:i/>
          <w:iCs/>
          <w:color w:val="0000ff"/>
          <w:sz w:val="24"/>
          <w:szCs w:val="24"/>
          <w:highlight w:val="none"/>
          <w:lang w:val="en-US" w:eastAsia="zh-CN"/>
        </w:rPr>
        <w:t xml:space="preserve">101.00</w:t>
      </w:r>
      <w:r>
        <w:rPr>
          <w:rFonts w:hint="eastAsia" w:ascii="宋体" w:hAnsi="宋体" w:eastAsia="宋体" w:cs="宋体"/>
          <w:b/>
          <w:bCs/>
          <w:i/>
          <w:iCs/>
          <w:color w:val="0000ff"/>
          <w:sz w:val="24"/>
          <w:szCs w:val="24"/>
          <w:highlight w:val="none"/>
          <w:lang w:val="zh-CN"/>
        </w:rPr>
        <w:t xml:space="preserve">元</w:t>
      </w:r>
      <w:r>
        <w:rPr>
          <w:rFonts w:hint="eastAsia" w:ascii="宋体" w:hAnsi="宋体" w:eastAsia="宋体" w:cs="宋体"/>
          <w:b/>
          <w:bCs/>
          <w:i/>
          <w:iCs/>
          <w:color w:val="0000ff"/>
          <w:sz w:val="24"/>
          <w:szCs w:val="24"/>
          <w:highlight w:val="none"/>
          <w:lang w:val="en-US" w:eastAsia="zh-CN"/>
        </w:rPr>
        <w:t xml:space="preserve">/</w:t>
      </w:r>
      <w:r>
        <w:rPr>
          <w:rFonts w:hint="eastAsia" w:ascii="宋体" w:hAnsi="宋体" w:eastAsia="宋体" w:cs="宋体"/>
          <w:b/>
          <w:bCs/>
          <w:i/>
          <w:iCs/>
          <w:color w:val="0000ff"/>
          <w:sz w:val="24"/>
          <w:szCs w:val="24"/>
          <w:highlight w:val="none"/>
          <w:lang w:val="zh-CN"/>
        </w:rPr>
        <w:t xml:space="preserve">人/每</w:t>
      </w:r>
      <w:r>
        <w:rPr>
          <w:rFonts w:hint="eastAsia" w:ascii="宋体" w:hAnsi="宋体" w:eastAsia="宋体" w:cs="宋体"/>
          <w:b/>
          <w:bCs/>
          <w:i/>
          <w:iCs/>
          <w:color w:val="0000ff"/>
          <w:sz w:val="24"/>
          <w:szCs w:val="24"/>
          <w:highlight w:val="none"/>
          <w:lang w:val="zh-CN" w:eastAsia="zh-CN"/>
        </w:rPr>
        <w:t xml:space="preserve">月</w:t>
      </w:r>
      <w:r>
        <w:rPr>
          <w:rFonts w:hint="eastAsia" w:ascii="宋体" w:hAnsi="宋体" w:eastAsia="宋体" w:cs="宋体"/>
          <w:b/>
          <w:bCs/>
          <w:i/>
          <w:iCs/>
          <w:color w:val="0000ff"/>
          <w:sz w:val="24"/>
          <w:szCs w:val="24"/>
          <w:highlight w:val="none"/>
          <w:lang w:val="en-US" w:eastAsia="zh-CN"/>
        </w:rPr>
        <w:t xml:space="preserve">，税金费率不得低于6.72%，加班费及其他所有费用。。</w:t>
      </w:r>
      <w:r/>
    </w:p>
    <w:p>
      <w:pPr>
        <w:ind w:left="0" w:firstLine="482"/>
        <w:pageBreakBefore w:val="0"/>
        <w:spacing w:line="500" w:lineRule="exact"/>
        <w:widowControl w:val="off"/>
        <w:rPr>
          <w:rFonts w:hint="eastAsia" w:ascii="宋体" w:hAnsi="宋体" w:eastAsia="宋体" w:cs="宋体"/>
          <w:b/>
          <w:i/>
          <w:iCs/>
          <w:color w:val="auto"/>
          <w:sz w:val="24"/>
          <w:szCs w:val="24"/>
          <w:highlight w:val="none"/>
        </w:rPr>
      </w:pPr>
      <w:r>
        <w:rPr>
          <w:rFonts w:hint="eastAsia" w:ascii="宋体" w:hAnsi="宋体" w:eastAsia="宋体" w:cs="宋体"/>
          <w:b/>
          <w:i/>
          <w:iCs/>
          <w:color w:val="auto"/>
          <w:sz w:val="24"/>
          <w:szCs w:val="24"/>
          <w:highlight w:val="none"/>
        </w:rPr>
        <w:t xml:space="preserve">投标人</w:t>
      </w:r>
      <w:r>
        <w:rPr>
          <w:rFonts w:hint="eastAsia" w:ascii="宋体" w:hAnsi="宋体" w:eastAsia="宋体" w:cs="宋体"/>
          <w:b/>
          <w:bCs/>
          <w:i/>
          <w:iCs/>
          <w:color w:val="auto"/>
          <w:sz w:val="24"/>
          <w:szCs w:val="24"/>
          <w:highlight w:val="none"/>
          <w:lang w:val="zh-CN"/>
        </w:rPr>
        <w:t xml:space="preserve">所提供人员的费用不得低于上述标准进行测算，</w:t>
      </w:r>
      <w:r>
        <w:rPr>
          <w:rFonts w:hint="eastAsia" w:ascii="宋体" w:hAnsi="宋体" w:eastAsia="宋体" w:cs="宋体"/>
          <w:b/>
          <w:i/>
          <w:iCs/>
          <w:color w:val="auto"/>
          <w:sz w:val="24"/>
          <w:szCs w:val="24"/>
          <w:highlight w:val="none"/>
        </w:rPr>
        <w:t xml:space="preserve">否则</w:t>
      </w:r>
      <w:r>
        <w:rPr>
          <w:rFonts w:hint="eastAsia" w:ascii="宋体" w:hAnsi="宋体" w:eastAsia="宋体" w:cs="宋体"/>
          <w:b/>
          <w:bCs/>
          <w:i/>
          <w:iCs/>
          <w:color w:val="auto"/>
          <w:sz w:val="24"/>
          <w:szCs w:val="24"/>
          <w:highlight w:val="none"/>
          <w:lang w:val="zh-CN"/>
        </w:rPr>
        <w:t xml:space="preserve">视为未实质性响应招标文件要求</w:t>
      </w:r>
      <w:r>
        <w:rPr>
          <w:rFonts w:hint="eastAsia" w:ascii="宋体" w:hAnsi="宋体" w:eastAsia="宋体" w:cs="宋体"/>
          <w:b/>
          <w:i/>
          <w:iCs/>
          <w:color w:val="auto"/>
          <w:sz w:val="24"/>
          <w:szCs w:val="24"/>
          <w:highlight w:val="none"/>
        </w:rPr>
        <w:t xml:space="preserve">。如果招标公告发布之后</w:t>
      </w:r>
      <w:r>
        <w:rPr>
          <w:rFonts w:hint="eastAsia" w:ascii="宋体" w:hAnsi="宋体" w:eastAsia="宋体" w:cs="宋体"/>
          <w:b/>
          <w:i/>
          <w:iCs/>
          <w:color w:val="auto"/>
          <w:sz w:val="24"/>
          <w:szCs w:val="24"/>
          <w:highlight w:val="none"/>
          <w:lang w:val="en-US" w:eastAsia="zh-CN"/>
        </w:rPr>
        <w:t xml:space="preserve">开标前</w:t>
      </w:r>
      <w:r>
        <w:rPr>
          <w:rFonts w:hint="eastAsia" w:ascii="宋体" w:hAnsi="宋体" w:eastAsia="宋体" w:cs="宋体"/>
          <w:b/>
          <w:i/>
          <w:iCs/>
          <w:color w:val="auto"/>
          <w:sz w:val="24"/>
          <w:szCs w:val="24"/>
          <w:highlight w:val="none"/>
        </w:rPr>
        <w:t xml:space="preserve">遇政府调整职工最低工资标准或社会保险缴纳基数，</w:t>
      </w:r>
      <w:r>
        <w:rPr>
          <w:rFonts w:hint="eastAsia" w:ascii="宋体" w:hAnsi="宋体" w:eastAsia="宋体" w:cs="宋体"/>
          <w:b/>
          <w:i/>
          <w:iCs/>
          <w:color w:val="auto"/>
          <w:sz w:val="24"/>
          <w:szCs w:val="24"/>
          <w:highlight w:val="none"/>
          <w:lang w:val="en-US" w:eastAsia="zh-CN"/>
        </w:rPr>
        <w:t xml:space="preserve">评标委员会进行符合性审查时</w:t>
      </w:r>
      <w:r>
        <w:rPr>
          <w:rFonts w:hint="eastAsia" w:ascii="宋体" w:hAnsi="宋体" w:eastAsia="宋体" w:cs="宋体"/>
          <w:b/>
          <w:i/>
          <w:iCs/>
          <w:color w:val="auto"/>
          <w:sz w:val="24"/>
          <w:szCs w:val="24"/>
          <w:highlight w:val="none"/>
        </w:rPr>
        <w:t xml:space="preserve">可仍按上述标准</w:t>
      </w:r>
      <w:r>
        <w:rPr>
          <w:rFonts w:hint="eastAsia" w:ascii="宋体" w:hAnsi="宋体" w:eastAsia="宋体" w:cs="宋体"/>
          <w:b/>
          <w:i/>
          <w:iCs/>
          <w:color w:val="auto"/>
          <w:sz w:val="24"/>
          <w:szCs w:val="24"/>
          <w:highlight w:val="none"/>
          <w:lang w:val="en-US" w:eastAsia="zh-CN"/>
        </w:rPr>
        <w:t xml:space="preserve">审查</w:t>
      </w:r>
      <w:r>
        <w:rPr>
          <w:rFonts w:hint="eastAsia" w:ascii="宋体" w:hAnsi="宋体" w:eastAsia="宋体" w:cs="宋体"/>
          <w:b/>
          <w:i/>
          <w:iCs/>
          <w:color w:val="auto"/>
          <w:sz w:val="24"/>
          <w:szCs w:val="24"/>
          <w:highlight w:val="none"/>
        </w:rPr>
        <w:t xml:space="preserve">，中标后，</w:t>
      </w:r>
      <w:r>
        <w:rPr>
          <w:rFonts w:hint="eastAsia" w:ascii="宋体" w:hAnsi="宋体" w:eastAsia="宋体" w:cs="宋体"/>
          <w:b/>
          <w:i/>
          <w:iCs/>
          <w:color w:val="auto"/>
          <w:sz w:val="24"/>
          <w:szCs w:val="24"/>
          <w:highlight w:val="none"/>
          <w:lang w:val="en-US" w:eastAsia="zh-CN"/>
        </w:rPr>
        <w:t xml:space="preserve">中标人应按照最新政策文件规定执行</w:t>
      </w:r>
      <w:r>
        <w:rPr>
          <w:rFonts w:hint="eastAsia" w:ascii="宋体" w:hAnsi="宋体" w:eastAsia="宋体" w:cs="宋体"/>
          <w:b/>
          <w:i/>
          <w:iCs/>
          <w:color w:val="auto"/>
          <w:sz w:val="24"/>
          <w:szCs w:val="24"/>
          <w:highlight w:val="none"/>
        </w:rPr>
        <w:t xml:space="preserve">。</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所提供人员的费用不得低于上述标准进行测算，</w:t>
      </w:r>
      <w:r>
        <w:rPr>
          <w:rFonts w:hint="eastAsia" w:ascii="宋体"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lang w:val="zh-CN" w:eastAsia="zh-CN"/>
        </w:rPr>
        <w:t xml:space="preserve">视为未实质性响应招标文件要求</w:t>
      </w:r>
      <w:r>
        <w:rPr>
          <w:rFonts w:hint="eastAsia" w:ascii="宋体" w:hAnsi="宋体" w:eastAsia="宋体" w:cs="宋体"/>
          <w:color w:val="auto"/>
          <w:sz w:val="24"/>
          <w:szCs w:val="24"/>
          <w:highlight w:val="none"/>
          <w:lang w:val="en-US" w:eastAsia="zh-CN"/>
        </w:rPr>
        <w:t xml:space="preserve">。如果磋商公告发布之后开标前遇政府调整职工最低工资标准或社会保险缴纳基数，磋商小组进行符合性审查时可仍按上述标准审查，中标后，中标人应按照最新政策文件规定执行。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12.5投标人根据招标内容的要求准确报价，一经报出，不得更改。</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投标报价的单位为人民币(元)/年。如果未能按合同、招标投标文件履约的，终止合同，不支付服务期间的安保服务费用。招标方有权终止合同的履行，受托单位应承担相应的完全责任，包括赔偿因此而给本单位及第三人带来的相应损失。</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12.7对于超出招标文件的其他临时性服务项目，由甲乙双方协商解决。</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13、技术要求响应及偏离表、商务要求响应及偏离表</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13.1供应商需对磋商文件中的技术要求与商务要求逐项作出响应或偏离，并说明原因。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13.2供应商可在响应文件中提供认为需要的其他技术文件或说明。</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14、服务承诺、培训计划、人员安排及其他</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14.1供应商需根据磋商文件要求提供有关售后服务的管理制度，售后服务机构的分布情况，售后服务人员的数量、素质、技术水平及售后服务的反应能力等。</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14.2供应商需根据磋商文件要求提供培训计划。</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14.3供应商需根据磋商文件要求提供磋商响应标的的主要组成部分、功能设计、实现思路及关键技术等。</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5" w:name="_Toc14577359"/>
      <w:r/>
      <w:bookmarkStart w:id="96" w:name="_Toc49090510"/>
      <w:r>
        <w:rPr>
          <w:rFonts w:hint="eastAsia" w:ascii="宋体" w:hAnsi="宋体" w:eastAsia="宋体" w:cs="宋体"/>
          <w:color w:val="auto"/>
          <w:sz w:val="24"/>
          <w:szCs w:val="24"/>
          <w:highlight w:val="none"/>
          <w:lang w:val="en-US" w:eastAsia="zh-CN"/>
        </w:rPr>
        <w:t xml:space="preserve">15、磋商响应函</w:t>
      </w:r>
      <w:bookmarkEnd w:id="95"/>
      <w:r/>
      <w:bookmarkEnd w:id="96"/>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15.1供应商应按照磋商文件中提供的格式完整、正确填写磋商响应函。</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7" w:name="_Toc49090511"/>
      <w:r/>
      <w:bookmarkStart w:id="98" w:name="_Toc14577360"/>
      <w:r>
        <w:rPr>
          <w:rFonts w:hint="eastAsia" w:ascii="宋体" w:hAnsi="宋体" w:eastAsia="宋体" w:cs="宋体"/>
          <w:color w:val="auto"/>
          <w:sz w:val="24"/>
          <w:szCs w:val="24"/>
          <w:highlight w:val="none"/>
          <w:lang w:val="en-US" w:eastAsia="zh-CN"/>
        </w:rPr>
        <w:t xml:space="preserve">16、磋商有效期</w:t>
      </w:r>
      <w:bookmarkEnd w:id="97"/>
      <w:r/>
      <w:bookmarkEnd w:id="98"/>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16.1磋商有效期为采购中心规定的提交响应文件截止之日后六十（60）天。磋商有效期比规定短的将被视为非实质性响应磋商文件而予以拒绝。</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17、磋商有效期的延长</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729"/>
        <w:ind w:firstLine="482"/>
        <w:jc w:val="both"/>
        <w:keepLines/>
        <w:keepNext/>
        <w:pageBreakBefore w:val="0"/>
        <w:spacing w:beforeAutospacing="0" w:afterAutospacing="0" w:line="500" w:lineRule="exact"/>
        <w:widowControl w:val="off"/>
      </w:pPr>
      <w:r/>
      <w:bookmarkStart w:id="99" w:name="_Toc16938540"/>
      <w:r/>
      <w:bookmarkStart w:id="100" w:name="_Toc120614217"/>
      <w:r/>
      <w:bookmarkStart w:id="101" w:name="_Toc20823296"/>
      <w:r/>
      <w:bookmarkStart w:id="102" w:name="_Toc513029224"/>
      <w:r/>
      <w:bookmarkStart w:id="103" w:name="_Hlt26954739"/>
      <w:r/>
      <w:bookmarkStart w:id="104" w:name="_Hlt26954852"/>
      <w:r>
        <w:rPr>
          <w:rFonts w:ascii="Times New Roman" w:hAnsi="Times New Roman"/>
          <w:b/>
          <w:color w:val="000000"/>
          <w:sz w:val="32"/>
          <w:szCs w:val="32"/>
        </w:rPr>
        <w:t xml:space="preserve">四、响应文件的递交</w:t>
      </w:r>
      <w:bookmarkEnd w:id="99"/>
      <w:r/>
      <w:bookmarkEnd w:id="100"/>
      <w:r/>
      <w:bookmarkEnd w:id="101"/>
      <w:r/>
      <w:bookmarkEnd w:id="102"/>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05" w:name="_Toc513029225"/>
      <w:r/>
      <w:bookmarkStart w:id="106" w:name="_Toc20823297"/>
      <w:r/>
      <w:bookmarkStart w:id="107" w:name="_Toc462564084"/>
      <w:r/>
      <w:bookmarkStart w:id="108" w:name="_Toc16938541"/>
      <w:r>
        <w:rPr>
          <w:rFonts w:hint="eastAsia" w:ascii="宋体" w:hAnsi="宋体" w:eastAsia="宋体" w:cs="宋体"/>
          <w:color w:val="auto"/>
          <w:sz w:val="24"/>
          <w:szCs w:val="24"/>
          <w:highlight w:val="none"/>
          <w:lang w:val="en-US" w:eastAsia="zh-CN"/>
        </w:rPr>
        <w:t xml:space="preserve">18、电子磋商</w:t>
      </w:r>
      <w:bookmarkEnd w:id="105"/>
      <w:r/>
      <w:bookmarkEnd w:id="106"/>
      <w:r/>
      <w:bookmarkEnd w:id="107"/>
      <w:r/>
      <w:bookmarkEnd w:id="108"/>
      <w:r>
        <w:rPr>
          <w:rFonts w:hint="eastAsia" w:ascii="宋体" w:hAnsi="宋体" w:eastAsia="宋体" w:cs="宋体"/>
          <w:color w:val="auto"/>
          <w:sz w:val="24"/>
          <w:szCs w:val="24"/>
          <w:highlight w:val="none"/>
          <w:lang w:val="en-US" w:eastAsia="zh-CN"/>
        </w:rPr>
        <w:t xml:space="preserve">响应文件的递交</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18.1供应商应当按照《操作手册》规定，在提交响应文件截止时间前制作并上传电子响应文件。</w:t>
      </w:r>
      <w:bookmarkStart w:id="109" w:name="_Toc16938542"/>
      <w:r/>
      <w:bookmarkEnd w:id="109"/>
      <w:r/>
      <w:bookmarkStart w:id="110" w:name="_Toc20823298"/>
      <w:r/>
      <w:bookmarkEnd w:id="110"/>
      <w:r/>
      <w:bookmarkStart w:id="111" w:name="_Toc513029226"/>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19、提交响应文件截止时间</w:t>
      </w:r>
      <w:r/>
    </w:p>
    <w:p>
      <w:pPr>
        <w:pStyle w:val="729"/>
        <w:ind w:firstLine="480"/>
        <w:jc w:val="both"/>
        <w:pageBreakBefore w:val="0"/>
        <w:spacing w:beforeAutospacing="0" w:afterAutospacing="0" w:line="500" w:lineRule="exact"/>
        <w:widowControl w:val="off"/>
        <w:rPr>
          <w:highlight w:val="none"/>
        </w:rPr>
      </w:pPr>
      <w:r>
        <w:rPr>
          <w:rFonts w:hint="eastAsia" w:ascii="宋体" w:hAnsi="宋体" w:eastAsia="宋体" w:cs="宋体"/>
          <w:b/>
          <w:i/>
          <w:iCs/>
          <w:color w:val="auto"/>
          <w:sz w:val="24"/>
          <w:szCs w:val="24"/>
          <w:highlight w:val="none"/>
          <w:lang w:val="en-US" w:eastAsia="zh-CN" w:bidi="ar-SA"/>
        </w:rPr>
        <w:t xml:space="preserve">19.1供应商上传电子响应文件的时间不得迟于磋商公告中规定的提交响应文件截止时间。</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供应商应充分考虑到网络环境、网络带宽等风险因素，如因供应商自身原因造成的电子响应文件上传不成功的按照本磋商文件第二章第26.3.2条规定做无效响应处理。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19.2 采购中心可以按照规定，通过修改磋商文件酌情延长提交响应文件截止日期，在此情况下，供应商的所有权利和义务以及供应商受制的截止日期均应以延长后新的截止日期为准。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12" w:name="_Toc513029227"/>
      <w:r/>
      <w:bookmarkStart w:id="113" w:name="_Toc20823299"/>
      <w:r/>
      <w:bookmarkStart w:id="114" w:name="_Toc16938543"/>
      <w:r>
        <w:rPr>
          <w:rFonts w:hint="eastAsia" w:ascii="宋体" w:hAnsi="宋体" w:eastAsia="宋体" w:cs="宋体"/>
          <w:color w:val="auto"/>
          <w:sz w:val="24"/>
          <w:szCs w:val="24"/>
          <w:highlight w:val="none"/>
          <w:lang w:val="en-US" w:eastAsia="zh-CN"/>
        </w:rPr>
        <w:t xml:space="preserve">20、响应文件</w:t>
      </w:r>
      <w:bookmarkEnd w:id="112"/>
      <w:r/>
      <w:bookmarkEnd w:id="113"/>
      <w:r/>
      <w:bookmarkEnd w:id="114"/>
      <w:r>
        <w:rPr>
          <w:rFonts w:hint="eastAsia" w:ascii="宋体" w:hAnsi="宋体" w:eastAsia="宋体" w:cs="宋体"/>
          <w:color w:val="auto"/>
          <w:sz w:val="24"/>
          <w:szCs w:val="24"/>
          <w:highlight w:val="none"/>
          <w:lang w:val="en-US" w:eastAsia="zh-CN"/>
        </w:rPr>
        <w:t xml:space="preserve">的拒收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采购中心拒绝接收在其规定的提交响应文件截止时间后上传的任何电子响应文件。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15" w:name="_Toc16938544"/>
      <w:r/>
      <w:bookmarkStart w:id="116" w:name="_Toc513029228"/>
      <w:r/>
      <w:bookmarkStart w:id="117" w:name="_Toc20823300"/>
      <w:r>
        <w:rPr>
          <w:rFonts w:hint="eastAsia" w:ascii="宋体" w:hAnsi="宋体" w:eastAsia="宋体" w:cs="宋体"/>
          <w:color w:val="auto"/>
          <w:sz w:val="24"/>
          <w:szCs w:val="24"/>
          <w:highlight w:val="none"/>
          <w:lang w:val="en-US" w:eastAsia="zh-CN"/>
        </w:rPr>
        <w:t xml:space="preserve">21、响应文件的撤回和修改</w:t>
      </w:r>
      <w:bookmarkEnd w:id="115"/>
      <w:r/>
      <w:bookmarkEnd w:id="116"/>
      <w:r/>
      <w:bookmarkEnd w:id="117"/>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21.1响应文件的撤回</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21.1.1 电子响应文件的撤回</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供应商可在提交响应文件截止时间前，撤回其电子响应文件，具体操作方法见《操作手册》。</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21.1.2供应商撤回电子响应文件，则认为其不再参与本项目磋商活动。</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21.2响应文件的修改</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供应商可在提交响应文件截止时间前，对其电子响应文件进行修改，具体操作方法见《操作手册》。</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21.3 在提交响应文件截止时间之后，供应商不得对其电子响应文件作任何修改。</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21.4 在提交响应文件截止时间至磋商文件中规定的磋商有效期满之间的这段时间内，供应商不得撤回其响应文件。</w:t>
      </w:r>
      <w:r/>
    </w:p>
    <w:p>
      <w:pPr>
        <w:pStyle w:val="729"/>
        <w:ind w:firstLine="482"/>
        <w:jc w:val="both"/>
        <w:keepLines/>
        <w:keepNext/>
        <w:pageBreakBefore w:val="0"/>
        <w:spacing w:beforeAutospacing="0" w:afterAutospacing="0" w:line="500" w:lineRule="exact"/>
        <w:widowControl w:val="off"/>
      </w:pPr>
      <w:r/>
      <w:bookmarkStart w:id="118" w:name="_Toc513029229"/>
      <w:r/>
      <w:bookmarkStart w:id="119" w:name="_Toc20823301"/>
      <w:r/>
      <w:bookmarkStart w:id="120" w:name="_Toc120614218"/>
      <w:r/>
      <w:bookmarkStart w:id="121" w:name="_Toc16938545"/>
      <w:r>
        <w:rPr>
          <w:rFonts w:ascii="Times New Roman" w:hAnsi="Times New Roman"/>
          <w:b/>
          <w:color w:val="000000"/>
          <w:sz w:val="32"/>
          <w:szCs w:val="32"/>
        </w:rPr>
        <w:t xml:space="preserve">五、响应文件的解密与评审</w:t>
      </w:r>
      <w:bookmarkEnd w:id="118"/>
      <w:r/>
      <w:bookmarkEnd w:id="119"/>
      <w:r/>
      <w:bookmarkEnd w:id="120"/>
      <w:r/>
      <w:bookmarkEnd w:id="121"/>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2" w:name="_Toc513029230"/>
      <w:r/>
      <w:bookmarkStart w:id="123" w:name="_Toc16938546"/>
      <w:r/>
      <w:bookmarkStart w:id="124" w:name="_Toc20823302"/>
      <w:r>
        <w:rPr>
          <w:rFonts w:hint="eastAsia" w:ascii="宋体" w:hAnsi="宋体" w:eastAsia="宋体" w:cs="宋体"/>
          <w:color w:val="auto"/>
          <w:sz w:val="24"/>
          <w:szCs w:val="24"/>
          <w:highlight w:val="none"/>
          <w:lang w:val="en-US" w:eastAsia="zh-CN"/>
        </w:rPr>
        <w:t xml:space="preserve">22、</w:t>
      </w:r>
      <w:bookmarkEnd w:id="122"/>
      <w:r/>
      <w:bookmarkEnd w:id="123"/>
      <w:r/>
      <w:bookmarkEnd w:id="124"/>
      <w:r>
        <w:rPr>
          <w:rFonts w:hint="eastAsia" w:ascii="宋体" w:hAnsi="宋体" w:eastAsia="宋体" w:cs="宋体"/>
          <w:color w:val="auto"/>
          <w:sz w:val="24"/>
          <w:szCs w:val="24"/>
          <w:highlight w:val="none"/>
          <w:lang w:val="en-US" w:eastAsia="zh-CN"/>
        </w:rPr>
        <w:t xml:space="preserve">响应文件解密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22.1供应商应当按照《操作手册》规定，在苏采云系统规定的时间内对磋商响应文件进行解密。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5" w:name="_Toc513029231"/>
      <w:r/>
      <w:bookmarkStart w:id="126" w:name="_Toc20823303"/>
      <w:r/>
      <w:bookmarkStart w:id="127" w:name="_Toc16938547"/>
      <w:r>
        <w:rPr>
          <w:rFonts w:hint="eastAsia" w:ascii="宋体" w:hAnsi="宋体" w:eastAsia="宋体" w:cs="宋体"/>
          <w:color w:val="auto"/>
          <w:sz w:val="24"/>
          <w:szCs w:val="24"/>
          <w:highlight w:val="none"/>
          <w:lang w:val="en-US" w:eastAsia="zh-CN"/>
        </w:rPr>
        <w:t xml:space="preserve">23、磋商小组</w:t>
      </w:r>
      <w:bookmarkEnd w:id="125"/>
      <w:r/>
      <w:bookmarkEnd w:id="126"/>
      <w:r/>
      <w:bookmarkEnd w:id="127"/>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23.1采购中心将组织磋商小组对响应文件进行评审。磋商小组由采购人代表和有关技术、经济等方面的专家组成，且人员构成符合政府采购有关规定。</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23.2磋商小组独立工作，负责评审所有响应文件并确定成交候选人。</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24、评审过程的保密与公正</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24.1磋商小组、采购人和采购中心工作人员、相关监督人员等与评审工作有关的人员，对评审情况以及在评审过程中获悉的国家秘密、商业秘密负有保密责任。</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24.2在评审过程中，供应商不得以任何行为影响磋商评审过程，否则其响应文件将被作为无效响应文件。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24.3在项目评审期间，采购中心将设专门人员与供应商联系。</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 采购中心和磋商小组不向未成交的供应商解释未成交原因，也不公布评审过程中的相关细节。</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8" w:name="_Toc16938548"/>
      <w:r/>
      <w:bookmarkStart w:id="129" w:name="_Toc513029232"/>
      <w:r/>
      <w:bookmarkStart w:id="130" w:name="_Toc20823304"/>
      <w:r>
        <w:rPr>
          <w:rFonts w:hint="eastAsia" w:ascii="宋体" w:hAnsi="宋体" w:eastAsia="宋体" w:cs="宋体"/>
          <w:color w:val="auto"/>
          <w:sz w:val="24"/>
          <w:szCs w:val="24"/>
          <w:highlight w:val="none"/>
          <w:lang w:val="en-US" w:eastAsia="zh-CN"/>
        </w:rPr>
        <w:t xml:space="preserve">25、评审过程中的的澄清</w:t>
      </w:r>
      <w:bookmarkEnd w:id="128"/>
      <w:r/>
      <w:bookmarkEnd w:id="129"/>
      <w:r/>
      <w:bookmarkEnd w:id="130"/>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磋商小组并非对每个供应商都作澄清要求。</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 接到磋商小组澄清、说明和更正要求的供应商如未按规定做出澄清、说明和 更正，其风险由供应商自行承担。</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31" w:name="_Toc20823305"/>
      <w:r/>
      <w:bookmarkStart w:id="132" w:name="_Toc513029233"/>
      <w:r/>
      <w:bookmarkStart w:id="133" w:name="_Toc16938549"/>
      <w:r>
        <w:rPr>
          <w:rFonts w:hint="eastAsia" w:ascii="宋体" w:hAnsi="宋体" w:eastAsia="宋体" w:cs="宋体"/>
          <w:color w:val="auto"/>
          <w:sz w:val="24"/>
          <w:szCs w:val="24"/>
          <w:highlight w:val="none"/>
          <w:lang w:val="en-US" w:eastAsia="zh-CN"/>
        </w:rPr>
        <w:t xml:space="preserve">26、对响应文件的审</w:t>
      </w:r>
      <w:bookmarkEnd w:id="131"/>
      <w:r/>
      <w:bookmarkEnd w:id="132"/>
      <w:r/>
      <w:bookmarkEnd w:id="133"/>
      <w:r>
        <w:rPr>
          <w:rFonts w:hint="eastAsia" w:ascii="宋体" w:hAnsi="宋体" w:eastAsia="宋体" w:cs="宋体"/>
          <w:color w:val="auto"/>
          <w:sz w:val="24"/>
          <w:szCs w:val="24"/>
          <w:highlight w:val="none"/>
          <w:lang w:val="en-US" w:eastAsia="zh-CN"/>
        </w:rPr>
        <w:t xml:space="preserve">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26.1响应文件审查分为资格审查和符合性审查。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 资格审查：由磋商小组依据法律法规和磋商文件的规定，对响应文件中的资格证明文件进行审查，以确定供应商是否具备参加磋商的资格。</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磋商小组在进行资格审查的同时，将在“信用中国”网站（www.creditchina.gov.cn）查询供应商的信用记录，以确定供应商是否具备磋商资格,查询结果留存并归档。</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26.1.2 符合性审查：依据磋商文件的规定，由磋商小组从响应文件的有效性、完整性和对磋商文件的响应程度进行审查，以确定是否对磋商文件的实质性要求作出响应。</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26.3未实质性响应磋商文件的情形</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26.3.1供应商在苏采云系统规定的时间内未成功解密电子响应文件的。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26.3.2供应商未按照磋商文件要求上传电子响应文件的。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26.3.3同一供应商提交两个（含两个）以上不同的响应文件或者最后报价的。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26.3.4供应商不具备磋商文件中规定资格要求的。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26.3.5供应商的最后报价超过了采购预算。</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26.3.6不符合磋商文件中规定的实质性要求和条件的（本磋商文件中斜体且有下划线部分为实质性要求和条件）。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26.3.8响应文件含有采购人不能接受的附加条件的。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26.3.10供应商不能证明其报价合理性的，磋商小组应当将其作为无效响应处理。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（一）评审过程中出现下列情形之一的，磋商小组应当启动异常低价响应审查程序：</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1.响应报价低于采购项目预算50%的，即响应报价&lt;采购项目预算×50%；</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2.响应报价低于采购项目最高限价45%的，即响应报价&lt;采购项目最高限价×45%；</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3.磋商小组认定的供应商报价过低、有可能影响产品质量或者不能诚信履约的其他情形。</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26.3.11响应文件未按照磋商文件要求加盖CA电子公章的。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26.4未实质性响应磋商文件的响应文件按无效响应处理。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26.5如果响应文件实质上没有响应磋商文件的要求，磋商小组将予以拒绝，供应商不得通过修改或撤销不合要求的偏离或保留而使其成为实质性响应的文件。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34" w:name="_Toc16938550"/>
      <w:r/>
      <w:bookmarkStart w:id="135" w:name="_Toc513029234"/>
      <w:r/>
      <w:bookmarkStart w:id="136" w:name="_Toc20823306"/>
      <w:r>
        <w:rPr>
          <w:rFonts w:hint="eastAsia" w:ascii="宋体" w:hAnsi="宋体" w:eastAsia="宋体" w:cs="宋体"/>
          <w:color w:val="auto"/>
          <w:sz w:val="24"/>
          <w:szCs w:val="24"/>
          <w:highlight w:val="none"/>
          <w:lang w:val="en-US" w:eastAsia="zh-CN"/>
        </w:rPr>
        <w:t xml:space="preserve">26.6供应商在项目评审全过程中应保持通讯畅通，并安排专人与采购中心及磋商小组联系。</w:t>
      </w:r>
      <w:bookmarkEnd w:id="134"/>
      <w:r/>
      <w:bookmarkEnd w:id="135"/>
      <w:r/>
      <w:bookmarkEnd w:id="136"/>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27、磋商程序及评审方法和评审标准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27.1磋商程序</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 评审方法和评审标准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27.2.1评审方法。经磋商确定最终采购需求和提交最后报价的供应商后，由磋商小组采用综合评分法对提交最后报价的供应商的响应文件和最后报价进行综合评分。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27.2.2评审标准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见本磋商文件第五章规定。</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27.3采购活动终止的情况</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出现下列情形之一的，本次竞争性磋商采购活动将被终止：</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27.3.1因情况变化，不再符合规定的竞争性磋商采购方式适用情形的。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27.3.2出现影响采购公正的违法、违规行为的。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27.3.3除本磋商文件第二章第27.1.2条第三款规定的情形外，在采购过程中符合要求的供应商或者最后报价未超过采购预算的供应商不足3家的。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27.3.4在苏采云系统规定时间内成功解密电子响应文件的供应商不足3家的。</w:t>
      </w:r>
      <w:r/>
    </w:p>
    <w:p>
      <w:pPr>
        <w:pStyle w:val="729"/>
        <w:ind w:firstLine="482"/>
        <w:jc w:val="both"/>
        <w:keepLines/>
        <w:keepNext/>
        <w:pageBreakBefore w:val="0"/>
        <w:spacing w:beforeAutospacing="0" w:afterAutospacing="0" w:line="500" w:lineRule="exact"/>
        <w:widowControl w:val="off"/>
      </w:pPr>
      <w:r/>
      <w:bookmarkStart w:id="137" w:name="_Toc513029235"/>
      <w:r/>
      <w:bookmarkStart w:id="138" w:name="_Toc16938551"/>
      <w:r/>
      <w:bookmarkStart w:id="139" w:name="_Toc120614219"/>
      <w:r/>
      <w:bookmarkStart w:id="140" w:name="_Toc20823307"/>
      <w:r>
        <w:rPr>
          <w:rFonts w:ascii="Times New Roman" w:hAnsi="Times New Roman"/>
          <w:b/>
          <w:color w:val="000000"/>
          <w:sz w:val="32"/>
          <w:szCs w:val="32"/>
        </w:rPr>
        <w:t xml:space="preserve">六、</w:t>
      </w:r>
      <w:bookmarkEnd w:id="137"/>
      <w:r/>
      <w:bookmarkEnd w:id="138"/>
      <w:r/>
      <w:bookmarkEnd w:id="139"/>
      <w:r/>
      <w:bookmarkEnd w:id="140"/>
      <w:r>
        <w:rPr>
          <w:rFonts w:ascii="Times New Roman" w:hAnsi="Times New Roman"/>
          <w:b/>
          <w:color w:val="000000"/>
          <w:sz w:val="32"/>
          <w:szCs w:val="32"/>
        </w:rPr>
        <w:t xml:space="preserve">成交</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1" w:name="_Toc20823310"/>
      <w:r/>
      <w:bookmarkStart w:id="142" w:name="_Toc16938554"/>
      <w:r/>
      <w:bookmarkStart w:id="143" w:name="_Toc513029238"/>
      <w:r>
        <w:rPr>
          <w:rFonts w:hint="eastAsia" w:ascii="宋体" w:hAnsi="宋体" w:eastAsia="宋体" w:cs="宋体"/>
          <w:color w:val="auto"/>
          <w:sz w:val="24"/>
          <w:szCs w:val="24"/>
          <w:highlight w:val="none"/>
          <w:lang w:val="en-US" w:eastAsia="zh-CN"/>
        </w:rPr>
        <w:t xml:space="preserve">28、</w:t>
      </w:r>
      <w:bookmarkEnd w:id="141"/>
      <w:r>
        <w:rPr>
          <w:rFonts w:hint="eastAsia" w:ascii="宋体" w:hAnsi="宋体" w:eastAsia="宋体" w:cs="宋体"/>
          <w:color w:val="auto"/>
          <w:sz w:val="24"/>
          <w:szCs w:val="24"/>
          <w:highlight w:val="none"/>
          <w:lang w:val="en-US" w:eastAsia="zh-CN"/>
        </w:rPr>
        <w:t xml:space="preserve">确定</w:t>
      </w:r>
      <w:bookmarkEnd w:id="142"/>
      <w:r/>
      <w:bookmarkEnd w:id="143"/>
      <w:r>
        <w:rPr>
          <w:rFonts w:hint="eastAsia" w:ascii="宋体" w:hAnsi="宋体" w:eastAsia="宋体" w:cs="宋体"/>
          <w:color w:val="auto"/>
          <w:sz w:val="24"/>
          <w:szCs w:val="24"/>
          <w:highlight w:val="none"/>
          <w:lang w:val="en-US" w:eastAsia="zh-CN"/>
        </w:rPr>
        <w:t xml:space="preserve">成交单位</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采购人从评审报告提出的成交候选供应商中，按照排序由高到低的原则确定成交供应商。采购人确定成交供应商后，采购中心将在“中国政府采购网”、“江苏政府采购网”、“盐城市政府采购网”发布成交结果公告，公告期限为1个工作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28.3若有充分证据证明，成交供应商出现下列情况之一的，一经查实，将被取消成交资格：</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28.3.1提供虚假材料谋取成交的。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28.3.2与评审专家、采购人、其他供应商或者采购中心工作人员恶意串通的。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28.3.3向评审专家、采购人或采购中心工作人员行贿或者提供其他不正当利益的。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28.3.4恶意竞争，最后报价明显低于其自身合理成本且又无法提供证明的。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28.3.5不满足本磋商文件规定的实质性要求，但在评审过程中又未被磋商小组发现的。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28.3.6成交后无正当理由拒不与采购人签订政府采购合同或者未按照磋商文件确定的事项签订政府采购合同的。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28.3.7将政府采购合同转包的。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4" w:name="_Toc200451960"/>
      <w:r>
        <w:rPr>
          <w:rFonts w:hint="eastAsia" w:ascii="宋体" w:hAnsi="宋体" w:eastAsia="宋体" w:cs="宋体"/>
          <w:color w:val="auto"/>
          <w:sz w:val="24"/>
          <w:szCs w:val="24"/>
          <w:highlight w:val="none"/>
          <w:lang w:val="en-US" w:eastAsia="zh-CN"/>
        </w:rPr>
        <w:t xml:space="preserve">29、质疑处理</w:t>
      </w:r>
      <w:bookmarkEnd w:id="144"/>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 提出质疑的供应商应当是参与所质疑项目采购活动的供应商。潜在供应商依法获取其可质疑的采购文件的，可以对采购文件提出质疑。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29.2.1对可以质疑的采购文件提出质疑的，为收到采购文件之日或者采购文件公告期限届满之日。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29.2.2对采购过程提出质疑的，为各采购程序环节结束之日。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29.2.3对成交结果提出质疑的，为成交结果公告期限届满之日。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left="0" w:firstLine="480"/>
        <w:jc w:val="left"/>
        <w:pageBreakBefore w:val="0"/>
        <w:spacing w:line="500" w:lineRule="exact"/>
        <w:widowControl w:val="off"/>
        <w:tabs>
          <w:tab w:val="left" w:pos="13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采购人及采购中心只接收以纸质原件形式送达的质疑,采购人和采购中心不接受未填写快递运单的快件。</w:t>
      </w:r>
      <w:r>
        <w:rPr>
          <w:rFonts w:hint="eastAsia" w:ascii="宋体" w:hAnsi="宋体" w:eastAsia="宋体" w:cs="宋体"/>
          <w:sz w:val="24"/>
        </w:rPr>
        <w:t xml:space="preserve">质疑接收部门为射阳县行政服务中心，联系地址：盐城市射阳县幸福大道16号，联系电话：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 以下情形的质疑不予受理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29.5.1 内容不符合《政府采购质疑和投诉办法》第十二条规定的质疑。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29.5.2 超出政府采购法定期限的质疑。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29.5.3 以传真、电子邮件等方式递交的非原件形式的质疑。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29.5.4 未参加磋商活动的供应商或在磋商活动中自身权益未受到损害的供应商所提出的质疑。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29.5.5供应商组成联合体参加磋商，联合体中任何一方或多方未按要求签字、盖章、加盖公章的质疑。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30、成交通知书</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29"/>
        <w:jc w:val="both"/>
        <w:keepLines/>
        <w:keepNext/>
        <w:pageBreakBefore w:val="0"/>
        <w:spacing w:beforeAutospacing="0" w:afterAutospacing="0" w:line="500" w:lineRule="exact"/>
        <w:widowControl w:val="off"/>
      </w:pPr>
      <w:r/>
      <w:bookmarkStart w:id="145" w:name="_Toc20823308"/>
      <w:r/>
      <w:bookmarkStart w:id="146" w:name="_Toc513029236"/>
      <w:r/>
      <w:bookmarkStart w:id="147" w:name="_Toc16938552"/>
      <w:r/>
      <w:bookmarkStart w:id="148" w:name="_Toc120614220"/>
      <w:r>
        <w:rPr>
          <w:rFonts w:ascii="Times New Roman" w:hAnsi="Times New Roman"/>
          <w:b/>
          <w:color w:val="000000"/>
          <w:sz w:val="32"/>
          <w:szCs w:val="32"/>
        </w:rPr>
        <w:t xml:space="preserve">七、授予合同</w:t>
      </w:r>
      <w:bookmarkEnd w:id="145"/>
      <w:r/>
      <w:bookmarkEnd w:id="146"/>
      <w:r/>
      <w:bookmarkEnd w:id="147"/>
      <w:r/>
      <w:bookmarkEnd w:id="148"/>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9" w:name="_Toc16938553"/>
      <w:r/>
      <w:bookmarkStart w:id="150" w:name="_Toc513029237"/>
      <w:r/>
      <w:bookmarkStart w:id="151" w:name="_Toc20823309"/>
      <w:r>
        <w:rPr>
          <w:rFonts w:hint="eastAsia" w:ascii="宋体" w:hAnsi="宋体" w:eastAsia="宋体" w:cs="宋体"/>
          <w:color w:val="auto"/>
          <w:sz w:val="24"/>
          <w:szCs w:val="24"/>
          <w:highlight w:val="none"/>
          <w:lang w:val="en-US" w:eastAsia="zh-CN"/>
        </w:rPr>
        <w:t xml:space="preserve">31. 签订合同</w:t>
      </w:r>
      <w:bookmarkEnd w:id="149"/>
      <w:r/>
      <w:bookmarkEnd w:id="150"/>
      <w:r/>
      <w:bookmarkEnd w:id="151"/>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31.l成交供应商应当在成交通知书发出之日起三十日内，按照磋商文件确定的事项与采购人签订政府采购合同。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31.2磋商文件、成交供应商的响应文件及磋商过程中有关澄清、承诺文件均应作为合同附件。</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32、标的物的追加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52" w:name="_Toc479757207"/>
      <w:r/>
      <w:bookmarkStart w:id="153" w:name="_Toc120614221"/>
      <w:r/>
      <w:bookmarkStart w:id="154" w:name="_Toc513029242"/>
      <w:r/>
      <w:bookmarkStart w:id="155" w:name="_Toc16938558"/>
      <w:r/>
      <w:bookmarkStart w:id="156" w:name="_Toc20823314"/>
      <w:r>
        <w:rPr>
          <w:rFonts w:hint="eastAsia" w:ascii="宋体" w:hAnsi="宋体" w:eastAsia="宋体" w:cs="宋体"/>
          <w:color w:val="auto"/>
          <w:sz w:val="24"/>
          <w:szCs w:val="24"/>
          <w:highlight w:val="none"/>
          <w:lang w:val="en-US" w:eastAsia="zh-CN"/>
        </w:rPr>
        <w:t xml:space="preserve">33、</w:t>
      </w:r>
      <w:bookmarkEnd w:id="152"/>
      <w:r/>
      <w:bookmarkEnd w:id="153"/>
      <w:r/>
      <w:bookmarkEnd w:id="154"/>
      <w:r/>
      <w:bookmarkEnd w:id="155"/>
      <w:r/>
      <w:bookmarkEnd w:id="156"/>
      <w:r>
        <w:rPr>
          <w:rFonts w:hint="eastAsia" w:ascii="宋体" w:hAnsi="宋体" w:eastAsia="宋体" w:cs="宋体"/>
          <w:color w:val="auto"/>
          <w:sz w:val="24"/>
          <w:szCs w:val="24"/>
          <w:highlight w:val="none"/>
          <w:lang w:val="en-US" w:eastAsia="zh-CN"/>
        </w:rPr>
        <w:t xml:space="preserve">政府采购线上合同信用融资政策</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729"/>
        <w:ind w:firstLine="24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34、其他</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34.1供应商对于投标产品的商品包装、快递包装应按照《关于印发《商品包装政府采购需求标准（试行）》、《快递包装政府采购需求标准（试行）》的通知》（财办库〔2020〕123号）执行。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34.2本文件中若涉及到数据中心采购，应按照《&lt;绿色数据中心政府采购需求标准（试行）&gt;的通知》（财库〔2023〕7号）执行。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 本项目落实预付款制度，预付款比例为30%。在签订合同时，中标、成交供应商明确书面表示无需预付款或者主动要求降低预付款比例的，采购人可就预付款比例作相应调整。</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34.4 确需收取履约保证金的，履约保证金的缴纳形式：</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级及以上的政府采购供应商（需在签订采购合同前提供信用管理部门备案的第三方信用报告，且信用报告通过“信用盐城网”可查实），可降低履约保证金缴纳比例，AA 级及以上的政府采购供应商按合同金额的5%缴纳。</w:t>
      </w:r>
      <w:r>
        <w:rPr>
          <w:rFonts w:hint="eastAsia" w:ascii="宋体" w:hAnsi="宋体" w:eastAsia="宋体" w:cs="宋体"/>
          <w:color w:val="auto"/>
          <w:sz w:val="24"/>
          <w:szCs w:val="24"/>
          <w:highlight w:val="none"/>
          <w:lang w:val="en-US" w:eastAsia="zh-CN"/>
        </w:rPr>
        <w:t xml:space="preserve">  </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ind w:firstLine="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ind w:firstLine="480"/>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ind w:firstLine="480"/>
        <w:jc w:val="center"/>
        <w:keepLines w:val="0"/>
        <w:keepNext w:val="0"/>
        <w:pageBreakBefore w:val="0"/>
        <w:spacing w:beforeAutospacing="0" w:afterAutospacing="0" w:line="500" w:lineRule="exact"/>
        <w:widowControl w:val="off"/>
      </w:pPr>
      <w:r>
        <w:rPr>
          <w:rFonts w:hint="eastAsia" w:ascii="黑体" w:hAnsi="宋体" w:eastAsia="黑体" w:cs="黑体"/>
          <w:color w:val="000000"/>
          <w:sz w:val="44"/>
          <w:szCs w:val="44"/>
        </w:rPr>
        <w:t xml:space="preserve">第三章  合同文本</w:t>
      </w:r>
      <w:r/>
    </w:p>
    <w:p>
      <w:pPr>
        <w:pStyle w:val="729"/>
        <w:ind w:firstLine="480"/>
        <w:jc w:val="both"/>
        <w:keepLines w:val="0"/>
        <w:keepNext w:val="0"/>
        <w:pageBreakBefore w:val="0"/>
        <w:spacing w:beforeAutospacing="0" w:afterAutospacing="0" w:line="500" w:lineRule="exact"/>
        <w:widowControl w:val="off"/>
      </w:pPr>
      <w:r/>
      <w:bookmarkStart w:id="157" w:name="_Toc16938559"/>
      <w:r/>
      <w:bookmarkStart w:id="158" w:name="_Toc20823315"/>
      <w:r/>
      <w:bookmarkStart w:id="159" w:name="_Toc513029243"/>
      <w:r>
        <w:rPr>
          <w:rFonts w:hint="eastAsia" w:ascii="宋体" w:hAnsi="宋体" w:eastAsia="宋体" w:cs="宋体"/>
          <w:color w:val="000000"/>
        </w:rPr>
        <w:t xml:space="preserve">以下为成交后签定本项目合同的通用条款，成交供应商不得提出实质性的修改。</w:t>
      </w:r>
      <w:bookmarkEnd w:id="157"/>
      <w:r/>
      <w:bookmarkEnd w:id="158"/>
      <w:r/>
      <w:bookmarkEnd w:id="159"/>
      <w:r/>
      <w:r/>
    </w:p>
    <w:p>
      <w:pPr>
        <w:pStyle w:val="729"/>
        <w:jc w:val="center"/>
        <w:keepLines w:val="0"/>
        <w:keepNext w:val="0"/>
        <w:pageBreakBefore w:val="0"/>
        <w:spacing w:beforeAutospacing="0" w:afterAutospacing="0" w:line="500" w:lineRule="exact"/>
        <w:widowControl w:val="off"/>
      </w:pPr>
      <w:r>
        <w:rPr>
          <w:rFonts w:hint="eastAsia" w:ascii="宋体" w:hAnsi="宋体" w:eastAsia="宋体" w:cs="宋体"/>
          <w:b/>
          <w:color w:val="000000"/>
          <w:sz w:val="30"/>
          <w:szCs w:val="30"/>
        </w:rPr>
        <w:t xml:space="preserve">盐城市政府采购合同（合同编号）</w:t>
      </w:r>
      <w:r/>
    </w:p>
    <w:p>
      <w:pPr>
        <w:spacing w:before="120" w:after="120" w:line="360" w:lineRule="auto"/>
        <w:rPr>
          <w:rFonts w:hint="eastAsia" w:ascii="宋体" w:hAnsi="宋体" w:eastAsia="宋体" w:cs="宋体"/>
          <w:sz w:val="24"/>
          <w:szCs w:val="24"/>
        </w:rPr>
      </w:pPr>
      <w:r/>
      <w:bookmarkStart w:id="160" w:name="_Toc479757211"/>
      <w:r/>
      <w:bookmarkStart w:id="161" w:name="_Toc120614244"/>
      <w:r/>
      <w:bookmarkStart w:id="162" w:name="_Toc462564139"/>
      <w:r/>
      <w:bookmarkStart w:id="163" w:name="_Toc20823346"/>
      <w:r/>
      <w:bookmarkStart w:id="164" w:name="_Toc16938590"/>
      <w:r/>
      <w:bookmarkStart w:id="165" w:name="_Hlt16619350"/>
      <w:r/>
      <w:bookmarkStart w:id="166" w:name="_Hlt16619369"/>
      <w:r>
        <w:rPr>
          <w:rFonts w:hint="eastAsia" w:ascii="宋体" w:hAnsi="宋体" w:eastAsia="宋体" w:cs="宋体"/>
          <w:sz w:val="24"/>
          <w:szCs w:val="24"/>
        </w:rPr>
        <w:t xml:space="preserve">项目名称：                                       项目编号：</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spacing w:before="120" w:after="120" w:line="360" w:lineRule="auto"/>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甲、乙双方根据射阳县行政服务中心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项目竞争性磋商的结果，签署本合同。</w:t>
      </w:r>
      <w:r/>
    </w:p>
    <w:p>
      <w:pPr>
        <w:spacing w:before="120" w:after="120"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服务范围及内容：</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本合同金额为（大写）：____________________________________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（_______________元）人民币或其他币种。</w:t>
      </w:r>
      <w:r/>
    </w:p>
    <w:p>
      <w:pPr>
        <w:spacing w:before="120" w:after="120"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三、</w:t>
      </w:r>
      <w:r>
        <w:rPr>
          <w:rFonts w:hint="eastAsia" w:ascii="宋体" w:hAnsi="宋体" w:eastAsia="宋体" w:cs="宋体"/>
          <w:b/>
          <w:bCs/>
          <w:sz w:val="24"/>
          <w:szCs w:val="24"/>
          <w:lang w:val="en-US" w:eastAsia="zh-CN"/>
        </w:rPr>
        <w:t xml:space="preserve">质量标准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3.1本项目须达到磋商文件、响应文件及合同规定的标准。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（双方协定后具体填写）</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四、服务期限</w:t>
      </w:r>
      <w:r/>
    </w:p>
    <w:p>
      <w:pPr>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详见本项目磋商文件</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五、权利和义务</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.1甲方权利和义务</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.1.1甲方有权随时对乙方的工作情况进行考核。</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.1.2甲方不允许乙方将本项目转包和分包给任何第三方，如发现乙方有转包和分包行为，甲方有权单方终止本合同。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.2乙方权利和义务</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.2.1乙方必须按公司化运作，必须遵守国家的法律法规并负责本公司人员的管理。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.2.2乙方应遵守《劳动法》及相关法律法规的规定，若有违反，责任由乙方自行承担。</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.2.3乙方必须按照甲方要求的定员数足额上岗作业，并按时发放工资、福利、为保洁人员按照规定办理相关保险。</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.2.4乙方在合同期限内录用的人员，合同到期后由乙方负责一切相关事宜。</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、合同转包或分包</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.1乙方不得将合同标的转包给他人履行。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.2乙方不得将合同标的分包给他人履行。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.3乙方如有转包或未经甲方同意的分包行为，甲方有权解除合同。</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、合同款项支付</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.1付款方式：</w:t>
      </w:r>
      <w:r/>
    </w:p>
    <w:p>
      <w:pPr>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7.1.1合同签订时，经采购人与中标人根据实际情况协商一致，可支付当年年度合同总价的30%作为项目启动预付款；</w:t>
      </w:r>
      <w:r/>
    </w:p>
    <w:p>
      <w:pPr>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7.1.2服务费的支付采用按月考核，三个月支付一次，即采购人于每月15日前对上月的工作进行考核，经考核合格后，服务每满三个月支付一次费用。满一年付清。</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.2结算方式</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.2.1 本项目采用“固定总价”合同，合同实施过程中中标总价一律不予调整（除设计变更、采购人调整项目内容及合同约定可以调整外）。</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.2.2 结算价=中标总价±设计变更、买方调整项目内容及合同约定可以调整的价格。</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、税费</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.1本合同执行中相关的一切税费均由乙方负担。</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、其他</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磋商文件和响应文件作为本合同的组成部分。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 合同修改：欲对合同条款进行任何改动，均须由甲、乙双方签署书面的合同修改书。</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十、违约责任</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.1乙方不服从甲方管理，甲方有权终止合同。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.2乙方擅自转包和分包的，甲方有权终止合同。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.3乙方在用工等方面如违反《劳动法》及相关规定，乙方承担由此造成的后果，甲方有权终止本合同。</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、不可抗力事件处理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在合同有效期内，任何一方因不可抗力事件导致不能履行合同，则合同履行期可延长，其延长期与不可抗力影响 期相同。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不可抗力事件发生后，应立即通知对方，并寄送有关权威机构出具的证明。</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 不可抗力事件延续120天以上，双方应通过友好协商，确定是否继续履行合同。</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、解决争议的方法</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.1 双方在执行合同中所发生的一切争议，应通过协商解决。如协商不成，可向合同签订地法院起诉，合同签订地在此约定为射阳县。</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、合同生效及其它</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合同经双方法定代表人或授权委托代表人签字并加盖单位公章后生效。</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.2本合同未尽事宜，遵照《民法典》、《政府采购法》有关条文执行。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 本合同正本一式三份，具有同等法律效力，甲方、乙方及财政监管部门各执一份。</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甲方：                        乙方： </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地址：                        地址： </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签订日期：      年    月   日</w:t>
      </w:r>
      <w:r/>
    </w:p>
    <w:p>
      <w:pPr>
        <w:spacing w:before="120" w:after="120" w:line="360" w:lineRule="auto"/>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第</w:t>
      </w:r>
      <w:bookmarkEnd w:id="160"/>
      <w:r>
        <w:rPr>
          <w:rFonts w:hint="eastAsia" w:ascii="黑体" w:hAnsi="宋体" w:eastAsia="黑体" w:cs="黑体"/>
          <w:color w:val="000000"/>
          <w:sz w:val="44"/>
          <w:szCs w:val="44"/>
        </w:rPr>
        <w:t xml:space="preserve">四章 采购需求</w:t>
      </w:r>
      <w:bookmarkEnd w:id="161"/>
      <w:r/>
      <w:bookmarkEnd w:id="162"/>
      <w:r/>
      <w:bookmarkEnd w:id="163"/>
      <w:r/>
      <w:bookmarkEnd w:id="164"/>
      <w:r/>
      <w:bookmarkStart w:id="167" w:name="_Toc26554093"/>
      <w:r/>
      <w:bookmarkEnd w:id="167"/>
      <w:r/>
      <w:bookmarkStart w:id="168" w:name="_Toc49090575"/>
      <w:r/>
      <w:bookmarkEnd w:id="168"/>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项目属性：服务类项目</w:t>
      </w:r>
      <w:r/>
    </w:p>
    <w:p>
      <w:pPr>
        <w:ind w:left="0" w:right="0" w:firstLine="482"/>
        <w:jc w:val="left"/>
        <w:keepLines w:val="0"/>
        <w:keepNext w:val="0"/>
        <w:pageBreakBefore w:val="0"/>
        <w:spacing w:line="500" w:lineRule="exact"/>
        <w:widowControl w:val="off"/>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一、项目概况</w:t>
      </w:r>
      <w:r/>
    </w:p>
    <w:tbl>
      <w:tblPr>
        <w:tblStyle w:val="702"/>
        <w:tblW w:w="887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7"/>
        <w:gridCol w:w="1578"/>
        <w:gridCol w:w="6583"/>
      </w:tblGrid>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项号</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内 容</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说 明 与 要 求</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1</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射阳县人民法院保安服务项目。</w:t>
            </w:r>
            <w:r/>
          </w:p>
        </w:tc>
      </w:tr>
      <w:tr>
        <w:trPr>
          <w:trHeight w:val="51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2</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服务地点</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射阳县晨光路2号</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3</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服务规模</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射阳县人民法院保安服务项目，服务人数为24人。</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4</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招标范围</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本招标书适于射阳县安保法院保安服务项目。</w:t>
            </w:r>
            <w:r/>
          </w:p>
        </w:tc>
      </w:tr>
      <w:tr>
        <w:trPr>
          <w:trHeight w:val="58"/>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5</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质量要求</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质量标准合同，质量目标合格。</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6</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服务时间</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具体时间以招标人通知为准。</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7</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资金来源</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财政资金。</w:t>
            </w:r>
            <w:r/>
          </w:p>
        </w:tc>
      </w:tr>
      <w:tr>
        <w:trPr>
          <w:trHeight w:val="507"/>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8</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其他说明 </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项目组成人员食宿自理，投标人应保证保安人员工资不低于2180元/人每月，并及时足额缴纳职工社会保险。如因乙方未按上述标准支付工资或未依法足额缴纳社会保险，导致职工投诉、劳动监察处理或对甲方造成不利影响的，全部由乙方承担责任，并赔偿甲方因此遭受的损失；甲方有权据此降低或拒付相关服务费用，直至解除合同并没收履约保证金。</w:t>
            </w:r>
            <w:r/>
          </w:p>
        </w:tc>
      </w:tr>
    </w:tbl>
    <w:p>
      <w:pPr>
        <w:ind w:left="0" w:right="0" w:firstLine="482"/>
        <w:jc w:val="left"/>
        <w:keepLines w:val="0"/>
        <w:keepNext w:val="0"/>
        <w:pageBreakBefore w:val="0"/>
        <w:spacing w:line="500" w:lineRule="exact"/>
        <w:widowControl w:val="off"/>
        <w:rPr>
          <w:rFonts w:hint="default"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 xml:space="preserve">二、项目需求</w:t>
      </w:r>
      <w:r/>
    </w:p>
    <w:p>
      <w:pPr>
        <w:ind w:left="0" w:right="0" w:firstLine="482"/>
        <w:jc w:val="left"/>
        <w:keepLines w:val="0"/>
        <w:keepNext w:val="0"/>
        <w:pageBreakBefore w:val="0"/>
        <w:spacing w:line="500" w:lineRule="exact"/>
        <w:widowControl w:val="off"/>
        <w:rPr>
          <w:rFonts w:hint="eastAsia"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 xml:space="preserve">（一）安保工作人员的条件和要求</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1.项目负责人（保安队长）接受</w:t>
      </w:r>
      <w:bookmarkStart w:id="169" w:name="OLE_LINK20"/>
      <w:r/>
      <w:bookmarkStart w:id="170" w:name="OLE_LINK19"/>
      <w:r>
        <w:rPr>
          <w:rFonts w:hint="eastAsia" w:ascii="宋体" w:hAnsi="宋体" w:eastAsia="宋体" w:cs="宋体"/>
          <w:b w:val="0"/>
          <w:bCs/>
          <w:i/>
          <w:iCs/>
          <w:sz w:val="24"/>
          <w:szCs w:val="24"/>
          <w:u w:val="single"/>
          <w:lang w:val="en-US" w:eastAsia="zh-CN"/>
        </w:rPr>
        <w:t xml:space="preserve">投标人</w:t>
      </w:r>
      <w:bookmarkEnd w:id="169"/>
      <w:r/>
      <w:bookmarkEnd w:id="170"/>
      <w:r>
        <w:rPr>
          <w:rFonts w:hint="eastAsia" w:ascii="宋体" w:hAnsi="宋体" w:eastAsia="宋体" w:cs="宋体"/>
          <w:b w:val="0"/>
          <w:bCs/>
          <w:i/>
          <w:iCs/>
          <w:sz w:val="24"/>
          <w:szCs w:val="24"/>
          <w:u w:val="single"/>
          <w:lang w:val="en-US" w:eastAsia="zh-CN"/>
        </w:rPr>
        <w:t xml:space="preserve">和射阳县人民法院双重领导和管理。正常工作日驻场，必须保持24小时通讯畅通，处理与安全工作的相关事务；</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2.保安员要求：投标人向射阳县人民法院派驻保安人员24人，</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（1）年龄：女性55周岁以下；男性60周岁以下（根据采购单位实际需求，提供男、女安保服务人员各自数量）。</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（2）男性身高：1.65米及以上，女性身高1.58米以上。</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（3）保安员均需要五官端正，双眼裸眼视力0.6以上（矫正视力1.0以上），身体健康，无传染病，无残疾，无明显标记。</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（4）无违法犯罪记录，非人民法院失信被执行人。</w:t>
      </w:r>
      <w:r/>
    </w:p>
    <w:p>
      <w:pPr>
        <w:ind w:left="0" w:right="0" w:firstLine="482"/>
        <w:jc w:val="left"/>
        <w:keepLines w:val="0"/>
        <w:keepNext w:val="0"/>
        <w:pageBreakBefore w:val="0"/>
        <w:spacing w:line="500" w:lineRule="exact"/>
        <w:widowControl w:val="off"/>
        <w:rPr>
          <w:rFonts w:hint="default"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（5）持有保安员证。</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3.安保职责：安检值班、安全保卫、协助法警维护办公及审判区域的秩序, 院本部和法庭门卫须7*24小时值班。</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4．建立各项规章制度和岗位安全责任制，使安全工作有章可循。</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5.供应商须为所有参与本项目的服务人员提供保额不少于50万元/年的意外伤害险。</w:t>
      </w:r>
      <w:r/>
    </w:p>
    <w:p>
      <w:pPr>
        <w:ind w:left="0" w:right="0" w:firstLine="482"/>
        <w:jc w:val="left"/>
        <w:keepLines w:val="0"/>
        <w:keepNext w:val="0"/>
        <w:pageBreakBefore w:val="0"/>
        <w:spacing w:line="500" w:lineRule="exact"/>
        <w:widowControl w:val="off"/>
        <w:rPr>
          <w:rFonts w:hint="eastAsia"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 xml:space="preserve">（二）出入口管理（核心防线）</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出入口是法院安全的 “第一道闸门”，保安需严格把控人员、车辆、物品的进出，防止无关人员或危险物品进入法院：</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1.人员核验：</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上班/下班时段，核对进出人员身份，禁止陌生人随意进入；对来访人员（需登记姓名、身份证号、来访事由，并经被访人员确认无误后放行。</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禁止无关人员（如推销人员、社会闲散人员）进入法院，对可疑人员进行盘问，必要时联系法院领导或公安机关。</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2.车辆管控：</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禁止机动车（除单位工车、应急车辆外）进入法院；允许进入的车辆限速（通常≤5km/h）并引导至指定停车区域。</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来访人员非机动车禁止进入法院，引导停放到指定区域。</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法院内按规定停放的车辆，均由安保人员负责安全管理，并严格执行《法院交通车辆管理规定》，若发生车辆丢失等责任事故，视乙方责任情况由乙方按一定比例进行赔偿。</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3.物品检查：</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对进入法院的包裹、行李等进行抽查，严禁携带易燃易爆物品（如打火机、酒精）、管制刀具（如水果刀、弹簧刀）、危险玩具（如仿真枪、弹弓）及其他违禁品；发现可疑物品立即隔离并上报。</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对出法院的物资必须有相关部门批条，并检查出门物资与批条允许出门物资是否一致，核实一致并登记后方可放行。</w:t>
      </w:r>
      <w:r/>
    </w:p>
    <w:p>
      <w:pPr>
        <w:ind w:left="0" w:right="0" w:firstLine="482"/>
        <w:jc w:val="left"/>
        <w:keepLines w:val="0"/>
        <w:keepNext w:val="0"/>
        <w:pageBreakBefore w:val="0"/>
        <w:spacing w:line="500" w:lineRule="exact"/>
        <w:widowControl w:val="off"/>
        <w:rPr>
          <w:rFonts w:hint="eastAsia"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 xml:space="preserve">（三）法院内部巡逻防控</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通过定时、定点巡逻，及时发现并排除安全隐患，震慑潜在安全风险：</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1.巡逻路线与频次：</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明确巡视工作职责，规范巡视工作流程，制定相对固定的巡视路线。对重点区域、重点部位至少每3小时巡视一次并记录。对法庭内安全存在的隐患进行查找，及时报告不安全因素，并配合采购人进行整改。发现违法、违章行为应及时制止；</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巡视中发现各区域内的异常情况，应立即通知有关部门并在现场采取必要措施，随时准备启动相应的应急预案。</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2.隐患排查：</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检查法院设施安全：如门窗是否锁闭、围墙是否有破损（防止攀爬外出或外人进入）、运动器材是否存在安全隐患（如松动、锈蚀）。</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异常情况：如无人看管的可疑物品、未关闭的水龙头 / 电器、陌生人员翻越围墙等，发现问题立即处理（如制止冲突、上报维修、驱离可疑人员）。</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3.最小应急单元演练：</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以 “第一时间发现隐患苗头、第一时间控制风险扩大、第一时间处置常规可控事件” 为原则，实现 “1 分钟自救、3 分钟互救、5 分钟增援到位” 的目标。如在模拟 “歹徒” 企图强行闯入法院的场景中，执勤保安要在 1 分钟内迅速反应，利用防暴器械与 “歹徒” 展开周旋，并启动一键报警装置。</w:t>
      </w:r>
      <w:r/>
    </w:p>
    <w:p>
      <w:pPr>
        <w:ind w:left="0" w:right="0" w:firstLine="482"/>
        <w:jc w:val="left"/>
        <w:keepLines w:val="0"/>
        <w:keepNext w:val="0"/>
        <w:pageBreakBefore w:val="0"/>
        <w:spacing w:line="500" w:lineRule="exact"/>
        <w:widowControl w:val="off"/>
        <w:rPr>
          <w:rFonts w:hint="eastAsia"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 xml:space="preserve">（四）相关大门管理、开关</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根据法院要求保管办公楼等大门钥匙，及时关锁相关大门，每次锁门前都要对办公楼进行“清场”检查，杜绝未经允许人员私自滞留，发现特殊情况及时与当天总值班报告。</w:t>
      </w:r>
      <w:r/>
    </w:p>
    <w:p>
      <w:pPr>
        <w:ind w:left="0" w:right="0" w:firstLine="482"/>
        <w:jc w:val="left"/>
        <w:keepLines w:val="0"/>
        <w:keepNext w:val="0"/>
        <w:pageBreakBefore w:val="0"/>
        <w:spacing w:line="500" w:lineRule="exact"/>
        <w:widowControl w:val="off"/>
        <w:rPr>
          <w:rFonts w:hint="eastAsia"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 xml:space="preserve">（五）应急事件处置（快速响应）</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1.事件应对：</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若发生火灾，立即启动消防预案（如疏散人员、使用灭火器灭火、拨打 119）；若发生打架斗殴，迅速制止冲突，控制涉事人员，避免事态扩大，并上报法院行政部门，必要时联系公安机关。</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若遇自然灾害（如地震、暴雨），协助引导人员按应急预案疏散至安全区域，清点人数，确保无人员遗漏；若有人员受伤，协助进行初步救治并联系 120。</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服务区域内如发生被盗案件，保安应及时向公安机关报案，保护现场，积极协助公安机关侦破。</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2.安全事件上报：</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对处置后的事件（如安全事故、违纪行为），详细记录时间、地点、经过、涉事人员等信息，及时上报法院领导；重大事件（如人员伤亡、刑事案件）需第一时间报警（110、119、120），并配合相关部门调查。</w:t>
      </w:r>
      <w:r/>
    </w:p>
    <w:p>
      <w:pPr>
        <w:ind w:left="0" w:right="0" w:firstLine="482"/>
        <w:jc w:val="left"/>
        <w:keepLines w:val="0"/>
        <w:keepNext w:val="0"/>
        <w:pageBreakBefore w:val="0"/>
        <w:spacing w:line="500" w:lineRule="exact"/>
        <w:widowControl w:val="off"/>
        <w:rPr>
          <w:rFonts w:hint="default"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 xml:space="preserve">三、其他服务要求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1、</w:t>
      </w:r>
      <w:bookmarkStart w:id="171" w:name="OLE_LINK155"/>
      <w:r>
        <w:rPr>
          <w:rFonts w:hint="eastAsia" w:ascii="宋体" w:hAnsi="宋体" w:eastAsia="宋体" w:cs="宋体"/>
          <w:b w:val="0"/>
          <w:bCs/>
          <w:i/>
          <w:iCs/>
          <w:sz w:val="24"/>
          <w:szCs w:val="24"/>
          <w:u w:val="single"/>
          <w:lang w:val="en-US" w:eastAsia="zh-CN"/>
        </w:rPr>
        <w:t xml:space="preserve">安保服务合同终止</w:t>
      </w:r>
      <w:bookmarkEnd w:id="171"/>
      <w:r>
        <w:rPr>
          <w:rFonts w:hint="eastAsia" w:ascii="宋体" w:hAnsi="宋体" w:eastAsia="宋体" w:cs="宋体"/>
          <w:b w:val="0"/>
          <w:bCs/>
          <w:i/>
          <w:iCs/>
          <w:sz w:val="24"/>
          <w:szCs w:val="24"/>
          <w:u w:val="single"/>
          <w:lang w:val="en-US" w:eastAsia="zh-CN"/>
        </w:rPr>
        <w:t xml:space="preserve">时，中标单位应当将安保服务用房和所有台账资料、档案完整地移交采购人。乙方未按约定时间、标准完成移交工作的，甲方有权暂缓支付未结清服务费用和/或不予退还履约保证金，直至移交工作完成；因移交不完整、不及时导致甲方无法正常开展后续安保工作或被有关部门追责的，乙方应承担全部责任并赔偿甲方因此遭受的全部损失。</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2、安保服务合同终止时，采购人选聘了新的安保服务企业后，中标单位应当做好交接工作。</w:t>
      </w:r>
      <w:r/>
    </w:p>
    <w:p>
      <w:pPr>
        <w:ind w:left="0" w:right="0" w:firstLine="482"/>
        <w:jc w:val="left"/>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3、未尽事宜，按国家和地方最新《保安服务管理条例》及相关规定执行，有冲突处，按高标准执行。</w:t>
      </w:r>
      <w:r/>
    </w:p>
    <w:p>
      <w:pPr>
        <w:ind w:left="0" w:right="0" w:firstLine="482"/>
        <w:jc w:val="left"/>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四、现场踏勘</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各投标人应自行前往项目地点实地了解，并向招标人了解安保服务的具体服务范围及服务要求，并充分考虑各种足以影响报价的各种情况，并根据项目的实际情况相关费用自行考虑到投标报价中。招标人向投标人提供的有关现场的数据和资料，是招标人现有的能够被投标人所使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五、项目要求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1、业绩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投标人应具备丰富的安保服务相关承接经验，确保本项目的顺利实施。投标人承接过类似党政机关、企事业单位、法院安保服务项目业绩的优先。</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2、综合实力</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为更好地体现企业的综合实力，投标人获得过县区级、市级及以上行政部门颁发的与本项目相关的表彰、奖励等荣誉的优先。</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3、人员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项目为射阳县人民法院安保服务项目，射阳县人民法院于盐城市射阳县晨光路2号，投标人需为本项目配备具备丰富经验与专业资质的安保服务团队，安保服务团队中须有一人兼顾项目负责人职务，项目负责人应具备组织指挥管理能力、对突发事件具备应急处置能力。</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六、投标人投标时应提供以下服务方案</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投标人应根据采购需求和本项目实际，制订相应的服务方案，至少包含以下内容：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bookmarkStart w:id="172" w:name="_Hlk221789810"/>
      <w:r/>
      <w:bookmarkStart w:id="173" w:name="_Hlk221801760"/>
      <w:r>
        <w:rPr>
          <w:rFonts w:hint="eastAsia" w:ascii="宋体" w:hAnsi="宋体" w:eastAsia="宋体" w:cs="宋体"/>
          <w:b w:val="0"/>
          <w:bCs/>
          <w:sz w:val="24"/>
          <w:szCs w:val="24"/>
          <w:lang w:val="en-US" w:eastAsia="zh-CN"/>
        </w:rPr>
        <w:t xml:space="preserve">1、目标与责任</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1.1结合采购人要求及保安服务实际情况，制定年度管理目标。</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1.2明确责任分工，并制定配套实施方案。</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2、服务人员要求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投标人应根据采购需求和本项目实际，制订相应的服务人员要求，至少包含：培训及考核；人员管理。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2.1每季度至少开展一次岗位技能、职业素质、服务知识等教育培训，并进行适当形式的考核。</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2.2人员管理制度：至少包含(1)建立健全人员管理制度，投标人向射阳县人民法院派驻保安人员24人，所有安保人员必须持有保安员证。年龄：女性55周岁以下；男性60周岁以下。无犯罪记录、政审合格、体检合格。(2)优先选用退役军人、具备消防证、急救证应急处置经验人员。按招标文件要求足额配置，实行24小时三班制/两班制，无缝交接班。队长常驻法院，全面负责日常管理、培训、应急指挥。(3)仪容仪表与行为规范，执勤期间统一着装、佩戴标志、衣冠整洁、姿态端正，文明执勤。</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3、保密和思想政治教育</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3.1建立保密管理制度。制度内容应当包括但不限于：（1）明确重点要害岗位保密职责（2）对涉密工作岗位的保密要求。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3.2根据采购人要求与涉密工作岗位的服务人员签订保密协议。保密协议应当向采购人报备。</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3.3每季度至少开展一次对服务人员进行保密、思想政治教育的培训，提高服务人员保密意识和思想政治意识。新入职员工应当接受保密、思想政治教育培训，进行必要的人员经历审查，合格后签订保密协议方可上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4、档案管理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4.1建立保安服务管理，准备、及时地对文件资料和服务记录进行归档保存，并确保其物理安全。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4.2档案和记录齐全，包括但不限于：1、采购人建议与投诉等。2、教育培训和考核记录。3、保密、思想政治教育培训记录。3、值班记录。4、外来人员和车辆登记等。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4.3遵守采购人的信息、档案资料保密要求，未经许可，不得将建筑物平面图等资料转作其他用途或向其他单位、个人提供。</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4.4履约结束后，相关资料交还采购人，采购人按政府采购相关规定存档。</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5、服务改进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5.1明确负责人，定期对保安服务过程进行自查，结合反馈意见与评价结果采取改进措施，持续提升管理与服务水平。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5.2对不合格服务进行控制，对不合格服务的原因进行识别和分析，及时采取纠正措施，消除不合格的原因，防止不合格再发生。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5.3需整改问题及时整改完成。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6、重大活动后勤保障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6.1制订流程。配合采购人制订重大活动工作流程，需对任务进行详细了解，并根据工作安排制定详细的工作计划。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6.2实施保障。按计划在关键区域和重点部位进行部署，确保任务顺利进行，对活动区域进行全面安全检查，发现并排除安全隐患，对车辆进行有序引导和管理，确保交通安全畅通，以礼貌、专业的态度对待来宾，展现良好形象。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6.3收尾工作。对现场进行检查，做好清理工作。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7.应急保障预案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7.2应急预案的建立。根据隐患排查的结果和实际情况，制定专项预案，包括但不限于：火情火警紧急处理应急预案、紧急疏散应急预案、恶劣天气应对应急预案等。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7.3应急预案的培训和演练。应急预案定期培训和演练，组织相关岗位每半年至少开展一次专项应急预案演练；留存培训及演练记录和影像资料，并对预案进行评价，确保与实际情况相结合。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7.4应急物资的管理。根据专项预案中的应对需要、必要的应急物资，建立清单或台账，并由专人定期对应急物资进行检查，如有应急物资不足，及时通知采购人购置齐全，确保能够随时正常使用。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8.服务方案及日常管理措施</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8.1制定工作制度，主要包括：人员录用制度、档案管理制度、保安服务管理制度等。 </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8.2制定项目实施方案，主要包括：交接方案、人员培训方案、人员稳定性方案、保密方案等。</w:t>
      </w:r>
      <w:bookmarkEnd w:id="172"/>
      <w:r/>
      <w:bookmarkEnd w:id="173"/>
      <w:r/>
      <w:r/>
    </w:p>
    <w:p>
      <w:pPr>
        <w:ind w:left="0" w:right="0" w:firstLine="482"/>
        <w:keepLines w:val="0"/>
        <w:keepNext w:val="0"/>
        <w:pageBreakBefore w:val="0"/>
        <w:spacing w:line="500" w:lineRule="exact"/>
        <w:widowControl w:val="off"/>
        <w:rPr>
          <w:rFonts w:hint="eastAsia"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 xml:space="preserve">七、报价要求：</w:t>
      </w:r>
      <w:r/>
    </w:p>
    <w:p>
      <w:pPr>
        <w:ind w:left="0" w:right="0" w:firstLine="482"/>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投标报价不得超过本项目最高限价。投标报价包括所有拟投入人员（不少于24人）费用，含工资、社保、人生意外伤害险、管理费、福利费、装备、培训费、服装费、加班费、合理利润等及政策性文件规定等各项应有费用（所有</w:t>
      </w:r>
      <w:r>
        <w:rPr>
          <w:rFonts w:hint="eastAsia" w:ascii="宋体" w:hAnsi="宋体" w:eastAsia="宋体" w:cs="宋体"/>
          <w:b w:val="0"/>
          <w:bCs/>
          <w:i/>
          <w:iCs/>
          <w:sz w:val="24"/>
          <w:szCs w:val="24"/>
          <w:u w:val="single"/>
          <w:lang w:val="zh-CN" w:eastAsia="zh-CN"/>
        </w:rPr>
        <w:t xml:space="preserve">人员工资不低于本</w:t>
      </w:r>
      <w:r>
        <w:rPr>
          <w:rFonts w:hint="eastAsia" w:ascii="宋体" w:hAnsi="宋体" w:eastAsia="宋体" w:cs="宋体"/>
          <w:b w:val="0"/>
          <w:bCs/>
          <w:i/>
          <w:iCs/>
          <w:sz w:val="24"/>
          <w:szCs w:val="24"/>
          <w:u w:val="single"/>
          <w:lang w:val="en-US" w:eastAsia="zh-CN"/>
        </w:rPr>
        <w:t xml:space="preserve">县</w:t>
      </w:r>
      <w:r>
        <w:rPr>
          <w:rFonts w:hint="eastAsia" w:ascii="宋体" w:hAnsi="宋体" w:eastAsia="宋体" w:cs="宋体"/>
          <w:b w:val="0"/>
          <w:bCs/>
          <w:i/>
          <w:iCs/>
          <w:sz w:val="24"/>
          <w:szCs w:val="24"/>
          <w:u w:val="single"/>
          <w:lang w:val="zh-CN" w:eastAsia="zh-CN"/>
        </w:rPr>
        <w:t xml:space="preserve">最低工资标准</w:t>
      </w:r>
      <w:r>
        <w:rPr>
          <w:rFonts w:hint="eastAsia" w:ascii="宋体" w:hAnsi="宋体" w:eastAsia="宋体" w:cs="宋体"/>
          <w:b w:val="0"/>
          <w:bCs/>
          <w:i/>
          <w:iCs/>
          <w:sz w:val="24"/>
          <w:szCs w:val="24"/>
          <w:u w:val="single"/>
          <w:lang w:val="en-US" w:eastAsia="zh-CN"/>
        </w:rPr>
        <w:t xml:space="preserve">2180.00</w:t>
      </w:r>
      <w:r>
        <w:rPr>
          <w:rFonts w:hint="eastAsia" w:ascii="宋体" w:hAnsi="宋体" w:eastAsia="宋体" w:cs="宋体"/>
          <w:b w:val="0"/>
          <w:bCs/>
          <w:i/>
          <w:iCs/>
          <w:sz w:val="24"/>
          <w:szCs w:val="24"/>
          <w:u w:val="single"/>
          <w:lang w:val="zh-CN" w:eastAsia="zh-CN"/>
        </w:rPr>
        <w:t xml:space="preserve">元/人</w:t>
      </w:r>
      <w:r>
        <w:rPr>
          <w:rFonts w:hint="eastAsia" w:ascii="宋体" w:hAnsi="宋体" w:eastAsia="宋体" w:cs="宋体"/>
          <w:b w:val="0"/>
          <w:bCs/>
          <w:i/>
          <w:iCs/>
          <w:sz w:val="24"/>
          <w:szCs w:val="24"/>
          <w:u w:val="single"/>
          <w:lang w:val="en-US" w:eastAsia="zh-CN"/>
        </w:rPr>
        <w:t xml:space="preserve">/</w:t>
      </w:r>
      <w:r>
        <w:rPr>
          <w:rFonts w:hint="eastAsia" w:ascii="宋体" w:hAnsi="宋体" w:eastAsia="宋体" w:cs="宋体"/>
          <w:b w:val="0"/>
          <w:bCs/>
          <w:i/>
          <w:iCs/>
          <w:sz w:val="24"/>
          <w:szCs w:val="24"/>
          <w:u w:val="single"/>
          <w:lang w:val="zh-CN" w:eastAsia="zh-CN"/>
        </w:rPr>
        <w:t xml:space="preserve">每月，所有人员必须足额缴纳社保费用，社保（企业部分）不得低于1292.47元/人/每月，</w:t>
      </w:r>
      <w:r>
        <w:rPr>
          <w:rFonts w:hint="eastAsia" w:ascii="宋体" w:hAnsi="宋体" w:eastAsia="宋体" w:cs="宋体"/>
          <w:b w:val="0"/>
          <w:bCs/>
          <w:i/>
          <w:iCs/>
          <w:sz w:val="24"/>
          <w:szCs w:val="24"/>
          <w:u w:val="single"/>
          <w:lang w:val="en-US" w:eastAsia="zh-CN"/>
        </w:rPr>
        <w:t xml:space="preserve">住房公积金不得低于101.00元/</w:t>
      </w:r>
      <w:r>
        <w:rPr>
          <w:rFonts w:hint="eastAsia" w:ascii="宋体" w:hAnsi="宋体" w:eastAsia="宋体" w:cs="宋体"/>
          <w:b w:val="0"/>
          <w:bCs/>
          <w:i/>
          <w:iCs/>
          <w:sz w:val="24"/>
          <w:szCs w:val="24"/>
          <w:u w:val="single"/>
          <w:lang w:val="zh-CN" w:eastAsia="zh-CN"/>
        </w:rPr>
        <w:t xml:space="preserve">人/每月</w:t>
      </w:r>
      <w:r>
        <w:rPr>
          <w:rFonts w:hint="eastAsia" w:ascii="宋体" w:hAnsi="宋体" w:eastAsia="宋体" w:cs="宋体"/>
          <w:b w:val="0"/>
          <w:bCs/>
          <w:i/>
          <w:iCs/>
          <w:sz w:val="24"/>
          <w:szCs w:val="24"/>
          <w:u w:val="single"/>
          <w:lang w:val="en-US" w:eastAsia="zh-CN"/>
        </w:rPr>
        <w:t xml:space="preserve">，税金费率不得低于6.72%。另项目负责人职务费2400元/年，此为固定报价，不得修改。具体明细详见附件）。</w:t>
      </w:r>
      <w:r/>
    </w:p>
    <w:p>
      <w:pPr>
        <w:ind w:left="0" w:right="0" w:firstLine="482"/>
        <w:keepLines w:val="0"/>
        <w:keepNext w:val="0"/>
        <w:pageBreakBefore w:val="0"/>
        <w:spacing w:line="500" w:lineRule="exact"/>
        <w:widowControl w:val="off"/>
        <w:rPr>
          <w:rFonts w:hint="eastAsia"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 xml:space="preserve">八、合同履行期限及地点：</w:t>
      </w:r>
      <w:r/>
    </w:p>
    <w:p>
      <w:pPr>
        <w:ind w:left="0" w:right="0" w:firstLine="482"/>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合同履行期限：合同签订后三天内人员安排到位,自合同签订之日起，服务期限三年（合同按年度签订，一年一签）。</w:t>
      </w:r>
      <w:r/>
    </w:p>
    <w:p>
      <w:pPr>
        <w:ind w:left="0" w:right="0" w:firstLine="482"/>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备注：中标单位在合同期内通过采购人的季度考核，平均分达90分以上的，可续签下一年度合同，总服务期限不超过三年；考核平均分未达标的，本项目合同终止，采购人方依法采取招标方式重新确定服务单位。考核办法详见附件1。</w:t>
      </w:r>
      <w:r/>
    </w:p>
    <w:p>
      <w:pPr>
        <w:ind w:left="0" w:right="0" w:firstLine="482"/>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地点：采购方指定地点。</w:t>
      </w:r>
      <w:r/>
    </w:p>
    <w:p>
      <w:pPr>
        <w:ind w:left="0" w:right="0" w:firstLine="482"/>
        <w:keepLines w:val="0"/>
        <w:keepNext w:val="0"/>
        <w:pageBreakBefore w:val="0"/>
        <w:spacing w:line="500" w:lineRule="exact"/>
        <w:widowControl w:val="off"/>
        <w:rPr>
          <w:rFonts w:hint="eastAsia"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 xml:space="preserve">九、付款方式: </w:t>
      </w:r>
      <w:r/>
    </w:p>
    <w:p>
      <w:pPr>
        <w:ind w:left="0" w:right="0" w:firstLine="482"/>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合同签订时，经采购人与中标人根据实际情况协商一致，可支付当年年度合同总价的30%作为项目启动预付款；</w:t>
      </w:r>
      <w:r/>
    </w:p>
    <w:p>
      <w:pPr>
        <w:ind w:left="0" w:right="0" w:firstLine="482"/>
        <w:keepLines w:val="0"/>
        <w:keepNext w:val="0"/>
        <w:pageBreakBefore w:val="0"/>
        <w:spacing w:line="500" w:lineRule="exact"/>
        <w:widowControl w:val="off"/>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服务费的支付采用按月考核，三个月支付一次，即采购人于每月15日前对上月的工作进行考核，经考核合格后，服务每满三个月支付一次费用。满一年付清。</w:t>
      </w:r>
      <w:r/>
    </w:p>
    <w:p>
      <w:pPr>
        <w:pStyle w:val="729"/>
        <w:numPr>
          <w:ilvl w:val="0"/>
          <w:numId w:val="0"/>
        </w:numPr>
        <w:ind w:firstLine="482"/>
        <w:jc w:val="both"/>
        <w:pageBreakBefore w:val="0"/>
        <w:spacing w:beforeAutospacing="0" w:afterAutospacing="0" w:line="500" w:lineRule="exact"/>
        <w:rPr>
          <w:rFonts w:hint="eastAsia" w:ascii="宋体" w:hAnsi="宋体" w:eastAsia="宋体" w:cs="宋体"/>
          <w:b/>
          <w:bCs w:val="0"/>
          <w:i/>
          <w:iCs/>
          <w:sz w:val="24"/>
          <w:szCs w:val="24"/>
          <w:u w:val="single"/>
          <w:lang w:val="en-US" w:eastAsia="zh-CN" w:bidi="ar-SA"/>
        </w:rPr>
      </w:pPr>
      <w:r>
        <w:rPr>
          <w:rFonts w:hint="eastAsia" w:ascii="宋体" w:hAnsi="宋体" w:eastAsia="宋体" w:cs="宋体"/>
          <w:b/>
          <w:bCs w:val="0"/>
          <w:i/>
          <w:iCs/>
          <w:sz w:val="24"/>
          <w:szCs w:val="24"/>
          <w:u w:val="single"/>
          <w:lang w:val="en-US" w:eastAsia="zh-CN" w:bidi="ar-SA"/>
        </w:rPr>
        <w:t xml:space="preserve">十、承诺函</w:t>
      </w:r>
      <w:r/>
    </w:p>
    <w:p>
      <w:pPr>
        <w:pStyle w:val="729"/>
        <w:numPr>
          <w:ilvl w:val="0"/>
          <w:numId w:val="0"/>
        </w:numPr>
        <w:ind w:firstLine="480"/>
        <w:jc w:val="both"/>
        <w:pageBreakBefore w:val="0"/>
        <w:spacing w:beforeAutospacing="0" w:afterAutospacing="0" w:line="500" w:lineRule="exact"/>
        <w:rPr>
          <w:rFonts w:hint="eastAsia" w:ascii="宋体" w:hAnsi="宋体" w:eastAsia="宋体" w:cs="宋体"/>
          <w:i/>
          <w:iCs/>
          <w:color w:val="0000ff"/>
          <w:sz w:val="24"/>
          <w:szCs w:val="24"/>
          <w:highlight w:val="none"/>
          <w:u w:val="single"/>
          <w:lang w:val="en-US" w:eastAsia="zh-CN"/>
        </w:rPr>
      </w:pPr>
      <w:r>
        <w:rPr>
          <w:rFonts w:hint="eastAsia" w:ascii="宋体" w:hAnsi="宋体" w:eastAsia="宋体" w:cs="宋体"/>
          <w:i/>
          <w:iCs/>
          <w:color w:val="0000ff"/>
          <w:sz w:val="24"/>
          <w:szCs w:val="24"/>
          <w:highlight w:val="none"/>
          <w:u w:val="single"/>
          <w:lang w:val="en-US" w:eastAsia="zh-CN"/>
        </w:rPr>
        <w:t xml:space="preserve">投标人须在响应文件中承诺：在签订合同前向采购单位提供盐城市公安局备案记录材料。未提供承诺函作为无效投标人处理。</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十一</w:t>
      </w:r>
      <w:r>
        <w:rPr>
          <w:rFonts w:hint="eastAsia" w:ascii="宋体" w:hAnsi="宋体" w:eastAsia="宋体" w:cs="宋体"/>
          <w:b/>
          <w:bCs w:val="0"/>
          <w:sz w:val="24"/>
          <w:szCs w:val="24"/>
        </w:rPr>
        <w:t xml:space="preserve">、特别说明 </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1、本项目报价含完成项目要求前一切费用，供应商应综合考虑在磋商报价中。</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2、本次磋商不接受选择性报价。</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3、资格后审：在评审时，对磋商供应商的响应文件中资格性、符合性进行审查，确定供应商是否具备磋商资格以及是否具备成交资格。</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4、对本项目供应商资格要求、项目需求、评分标准等的质疑由采购单位负责答复；采购单位具有项目的解释权，质疑函和答复须同时报采购中心备案管理。</w:t>
      </w:r>
      <w:r/>
    </w:p>
    <w:p>
      <w:pPr>
        <w:ind w:firstLine="480"/>
        <w:spacing w:line="480" w:lineRule="exact"/>
        <w:rPr>
          <w:rFonts w:hint="eastAsia" w:ascii="宋体" w:hAnsi="宋体" w:eastAsia="宋体" w:cs="Times New Roman"/>
          <w:color w:val="000000"/>
          <w:sz w:val="24"/>
          <w:highlight w:val="none"/>
        </w:rPr>
      </w:pPr>
      <w:r>
        <w:rPr>
          <w:rFonts w:hint="eastAsia" w:ascii="宋体" w:hAnsi="宋体" w:eastAsia="宋体" w:cs="宋体"/>
          <w:b w:val="0"/>
          <w:bCs/>
          <w:sz w:val="24"/>
          <w:szCs w:val="24"/>
          <w:lang w:val="en-US" w:eastAsia="zh-CN"/>
        </w:rPr>
        <w:t xml:space="preserve">5、中标人(成交供应商)与采购人签订合同前，须向第三方咨询公司支付咨询服务服务费，</w:t>
      </w:r>
      <w:r>
        <w:rPr>
          <w:rFonts w:hint="eastAsia" w:ascii="宋体" w:hAnsi="宋体" w:eastAsia="宋体" w:cs="宋体"/>
          <w:color w:val="000000"/>
          <w:sz w:val="24"/>
          <w:lang w:val="en-US" w:eastAsia="zh-CN"/>
        </w:rPr>
        <w:t xml:space="preserve">咨询服务费</w:t>
      </w:r>
      <w:r>
        <w:rPr>
          <w:rFonts w:ascii="宋体" w:hAnsi="宋体" w:eastAsia="宋体" w:cs="宋体"/>
          <w:color w:val="000000"/>
          <w:sz w:val="24"/>
        </w:rPr>
        <w:t xml:space="preserve">按《江苏省政府采购代理服务收费指导意见》的通知（苏政采协【2024】20号）</w:t>
      </w:r>
      <w:r>
        <w:rPr>
          <w:rFonts w:hint="eastAsia" w:ascii="宋体" w:hAnsi="宋体" w:eastAsia="宋体" w:cs="宋体"/>
          <w:color w:val="000000"/>
          <w:sz w:val="24"/>
        </w:rPr>
        <w:t xml:space="preserve">收费标准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收费为年中标价*3年*收费标准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进行计取</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并由中标</w:t>
      </w:r>
      <w:r>
        <w:rPr>
          <w:rFonts w:hint="eastAsia" w:ascii="宋体" w:hAnsi="宋体" w:eastAsia="宋体" w:cs="宋体"/>
          <w:color w:val="000000"/>
          <w:sz w:val="24"/>
          <w:lang w:val="en-US" w:eastAsia="zh-CN"/>
        </w:rPr>
        <w:t xml:space="preserve">单位</w:t>
      </w:r>
      <w:r>
        <w:rPr>
          <w:rFonts w:hint="eastAsia" w:ascii="宋体" w:hAnsi="宋体" w:eastAsia="宋体" w:cs="宋体"/>
          <w:color w:val="000000"/>
          <w:sz w:val="24"/>
        </w:rPr>
        <w:t xml:space="preserve">支付</w:t>
      </w:r>
      <w:r>
        <w:rPr>
          <w:rFonts w:hint="eastAsia" w:ascii="宋体" w:hAnsi="宋体" w:eastAsia="宋体" w:cs="Times New Roman"/>
          <w:color w:val="000000"/>
          <w:sz w:val="24"/>
          <w:highlight w:val="none"/>
        </w:rPr>
        <w:t xml:space="preserve">给</w:t>
      </w:r>
      <w:r>
        <w:rPr>
          <w:rFonts w:hint="eastAsia" w:ascii="宋体" w:hAnsi="宋体" w:eastAsia="宋体" w:cs="Times New Roman"/>
          <w:color w:val="000000"/>
          <w:sz w:val="24"/>
          <w:highlight w:val="none"/>
          <w:lang w:val="en-US" w:eastAsia="zh-CN"/>
        </w:rPr>
        <w:t xml:space="preserve">本项目前期咨询服务</w:t>
      </w:r>
      <w:r>
        <w:rPr>
          <w:rFonts w:hint="eastAsia" w:ascii="宋体" w:hAnsi="宋体" w:eastAsia="宋体" w:cs="Times New Roman"/>
          <w:color w:val="000000"/>
          <w:sz w:val="24"/>
          <w:highlight w:val="none"/>
        </w:rPr>
        <w:t xml:space="preserve">机构。</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本条不单独列表报价，与最低人员工资标准测算无关，各投标人自行综合考虑，中标后采购人不再另行支付。</w:t>
      </w:r>
      <w:r/>
    </w:p>
    <w:p>
      <w:pPr>
        <w:pStyle w:val="729"/>
        <w:ind w:left="0" w:firstLine="482"/>
        <w:jc w:val="both"/>
        <w:keepLines w:val="0"/>
        <w:keepNext w:val="0"/>
        <w:pageBreakBefore w:val="0"/>
        <w:spacing w:beforeAutospacing="0" w:afterAutospacing="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十二、采购标的对应的中小企业划分标准所属行业一览表</w:t>
      </w:r>
      <w:r/>
    </w:p>
    <w:tbl>
      <w:tblPr>
        <w:tblStyle w:val="702"/>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物业管理</w:t>
            </w:r>
            <w:r/>
          </w:p>
        </w:tc>
      </w:tr>
    </w:tbl>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pPr>
      <w:r/>
      <w:r/>
    </w:p>
    <w:p>
      <w:pPr>
        <w:pStyle w:val="729"/>
        <w:ind w:firstLine="602"/>
        <w:jc w:val="both"/>
        <w:spacing w:beforeAutospacing="0" w:afterAutospacing="0"/>
        <w:rPr>
          <w:rFonts w:hint="eastAsia" w:ascii="宋体" w:hAnsi="宋体" w:eastAsia="宋体" w:cs="宋体"/>
          <w:b/>
          <w:bCs w:val="0"/>
          <w:sz w:val="24"/>
          <w:szCs w:val="24"/>
          <w:lang w:val="en-US" w:eastAsia="zh-CN"/>
        </w:rPr>
      </w:pPr>
      <w:r>
        <w:t xml:space="preserve"> </w:t>
      </w:r>
      <w:bookmarkStart w:id="174" w:name="_Toc120614281"/>
      <w:r>
        <w:rPr>
          <w:rFonts w:hint="eastAsia" w:ascii="宋体" w:hAnsi="宋体" w:eastAsia="宋体" w:cs="宋体"/>
          <w:b/>
          <w:bCs w:val="0"/>
          <w:sz w:val="24"/>
          <w:szCs w:val="24"/>
          <w:lang w:val="en-US" w:eastAsia="zh-CN"/>
        </w:rPr>
        <w:t xml:space="preserve">附件1：考核办法（甲方有权根据实际情况进行调整）</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（一）检查与考核</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1、采购人每月对服务单位</w:t>
      </w:r>
      <w:r>
        <w:rPr>
          <w:rFonts w:hint="eastAsia" w:ascii="宋体" w:hAnsi="宋体" w:eastAsia="宋体" w:cs="宋体"/>
          <w:b w:val="0"/>
          <w:bCs/>
          <w:sz w:val="24"/>
          <w:szCs w:val="24"/>
          <w:lang w:val="zh-CN" w:eastAsia="zh-CN"/>
        </w:rPr>
        <w:t xml:space="preserve">的服务工作进行考核，考核包括每月</w:t>
      </w:r>
      <w:r>
        <w:rPr>
          <w:rFonts w:hint="eastAsia" w:ascii="宋体" w:hAnsi="宋体" w:eastAsia="宋体" w:cs="宋体"/>
          <w:b w:val="0"/>
          <w:bCs/>
          <w:sz w:val="24"/>
          <w:szCs w:val="24"/>
          <w:lang w:val="en-US" w:eastAsia="zh-CN"/>
        </w:rPr>
        <w:t xml:space="preserve">抽查、日常巡查、专项考核，</w:t>
      </w:r>
      <w:r>
        <w:rPr>
          <w:rFonts w:hint="eastAsia" w:ascii="宋体" w:hAnsi="宋体" w:eastAsia="宋体" w:cs="宋体"/>
          <w:b w:val="0"/>
          <w:bCs/>
          <w:sz w:val="24"/>
          <w:szCs w:val="24"/>
          <w:lang w:val="zh-CN" w:eastAsia="zh-CN"/>
        </w:rPr>
        <w:t xml:space="preserve">乙方应做好配合</w:t>
      </w:r>
      <w:r>
        <w:rPr>
          <w:rFonts w:hint="eastAsia" w:ascii="宋体" w:hAnsi="宋体" w:eastAsia="宋体" w:cs="宋体"/>
          <w:b w:val="0"/>
          <w:bCs/>
          <w:sz w:val="24"/>
          <w:szCs w:val="24"/>
          <w:lang w:val="en-US" w:eastAsia="zh-CN"/>
        </w:rPr>
        <w:t xml:space="preserve">。</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2、采购人在考核中发现的问题及时通知服务单位，服务单位及时整改，并在考核结果上签字确认。如服务单位对考核得分存在异议，应在3个工作日内与采购人共同核实确认，否则视为认同结果。</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（二）考核标准如下：</w:t>
      </w:r>
      <w:r/>
    </w:p>
    <w:tbl>
      <w:tblPr>
        <w:tblStyle w:val="702"/>
        <w:tblW w:w="5982" w:type="pct"/>
        <w:tblInd w:w="-779" w:type="dxa"/>
        <w:tblLayout w:type="fixed"/>
        <w:tblCellMar>
          <w:left w:w="108" w:type="dxa"/>
          <w:top w:w="0" w:type="dxa"/>
          <w:right w:w="108" w:type="dxa"/>
          <w:bottom w:w="0" w:type="dxa"/>
        </w:tblCellMar>
        <w:tblLook w:val="04A0" w:firstRow="1" w:lastRow="0" w:firstColumn="1" w:lastColumn="0" w:noHBand="0" w:noVBand="1"/>
      </w:tblPr>
      <w:tblGrid>
        <w:gridCol w:w="634"/>
        <w:gridCol w:w="583"/>
        <w:gridCol w:w="3689"/>
        <w:gridCol w:w="4351"/>
        <w:gridCol w:w="783"/>
        <w:gridCol w:w="628"/>
        <w:gridCol w:w="388"/>
      </w:tblGrid>
      <w:tr>
        <w:trPr>
          <w:trHeight w:val="42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ascii="宋体" w:hAnsi="宋体" w:cs="宋体"/>
                <w:b/>
                <w:bCs/>
                <w:color w:val="000000" w:themeColor="text1"/>
                <w:szCs w:val="21"/>
                <w14:textFill>
                  <w14:solidFill>
                    <w14:schemeClr w14:val="tx1"/>
                  </w14:solidFill>
                </w14:textFill>
              </w:rPr>
            </w:pPr>
            <w:r>
              <w:rPr>
                <w:rFonts w:hint="eastAsia" w:ascii="宋体" w:hAnsi="宋体" w:cs="仿宋_GB2312"/>
                <w:b/>
                <w:color w:val="000000" w:themeColor="text1"/>
                <w:szCs w:val="21"/>
                <w14:textFill>
                  <w14:solidFill>
                    <w14:schemeClr w14:val="tx1"/>
                  </w14:solidFill>
                </w14:textFill>
              </w:rPr>
              <w:t xml:space="preserve">《保安外包服务检查考核表》</w:t>
            </w:r>
            <w:r/>
          </w:p>
        </w:tc>
      </w:tr>
      <w:tr>
        <w:trPr>
          <w:trHeight w:val="645"/>
        </w:trPr>
        <w:tc>
          <w:tcPr>
            <w:tcBorders>
              <w:top w:val="single" w:color="auto" w:sz="4" w:space="0"/>
              <w:left w:val="single" w:color="auto" w:sz="4" w:space="0"/>
              <w:bottom w:val="single" w:color="auto" w:sz="4" w:space="0"/>
              <w:right w:val="single" w:color="auto" w:sz="4" w:space="0"/>
            </w:tcBorders>
            <w:tcW w:w="286"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内容</w:t>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考核内容</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检查方式及标准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分值</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得分</w:t>
            </w:r>
            <w:r/>
          </w:p>
        </w:tc>
        <w:tc>
          <w:tcPr>
            <w:tcBorders>
              <w:top w:val="single" w:color="auto"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   注</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286" w:type="pct"/>
            <w:vAlign w:val="center"/>
            <w:vMerge w:val="restart"/>
            <w:textDirection w:val="lrTb"/>
            <w:noWrap w:val="false"/>
          </w:tcPr>
          <w:p>
            <w:pPr>
              <w:ind w:left="210" w:firstLine="211"/>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left="210" w:firstLine="211"/>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left="210" w:firstLine="211"/>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left="210" w:firstLine="211"/>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left="210" w:firstLine="211"/>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left="210" w:firstLine="211"/>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执勤工作</w:t>
            </w:r>
            <w:r/>
          </w:p>
        </w:tc>
        <w:tc>
          <w:tcPr>
            <w:shd w:val="clear" w:color="auto" w:fill="auto"/>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坚守岗位，加强物品进出管理，不得脱岗、睡岗</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以采购人主管检查登记为准，迟到、早退每次扣1分，旷工1次本项为0分。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定时定点巡视，维持秩序，发生纠纷或其他事件及时到场协助处理。</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采购人主管检查记录，每少1次巡逻本项为0分，每发现1次未按规定巡逻扣5分；（检查时以调取采购人监控录像等为准）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积极引导，认真做好车辆管理，严禁乱停乱放</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随意放行车辆进入管理区域或者没有做好登记，没有引导车辆停放的一次扣一分。对外送物品、废品私自放行的本项为0分。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值班人员语言要文明，统一用普通话，不能聊与工作无关的事，并保持值班室及大门口内外的整洁。</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检查记录或书面投诉，每发现1次扣1分；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巡逻人员要认真检查消防安全、安全防范、各消防设施保养和维护、无火警请示的情况下不准使用消防器材，发现异常及时汇报、处理。</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检查记录，发现问题未上报本项为0分；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不允许在值班室乱写乱画，物品摆放要干净、整齐、卫生；</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检查记录，每发现1次扣1分；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上班时间不允许占用办公电话聊天办私事；</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检查记录，每发现1次扣1分；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上班时间不可做与工作无关的事项，如玩电脑及手机、看小说、闲聊等；</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检查记录，每发现1次本项为0分；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不可酗酒上班，不可私自拆开他人信件、包裹及各政府部门通知，按时传达报纸及杂志等；</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检查记录或书面投诉，每发现1次本项为0分；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对来访者必需做好检查、登记，在被访者陪同下方可放行，不可故意刁难、或用不文明语言对待来访者。</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检查记录或书面投诉，每发现1次本项为0分；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保安服务项目配备器械使用时不能故意损坏，谁使用谁保管，谁损坏谁负责。</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检查记录，每发现1次损坏扣2分，遗失本项为0分；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135"/>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899" w:type="pct"/>
            <w:vAlign w:val="center"/>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小计分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50</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restart"/>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工 作 纪 律 性</w:t>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上班未服从工作安排或其他原因顶撞领导。</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记录为准,每发现1次本项为0分；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上班不可迟到、早退，未请假或请假未获得批准不允许擅自离岗、旷工。</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以考勤记录为准，迟到、早退每次扣1分，旷工1次本项为0分。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工作责任心不强，出现的违纪情况不予管制、上报，有包庇和隐瞒迹象等。</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记录为准,每发现1次本项为0分；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工作拖拉、被动，被领导提醒、督促的情况。</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记录为准,每发现1次本项为0分；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工作时间不允许脱岗、串岗、闲聊、抽烟。</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检查记录或书面投诉，每发现1次本项为0分；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不允许拉帮结派、破坏团结、散布谣言。</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根据记录或投诉举报,每发现1次本项为0分；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24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899" w:type="pct"/>
            <w:vAlign w:val="center"/>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小计分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30</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842"/>
        </w:trPr>
        <w:tc>
          <w:tcPr>
            <w:tcBorders>
              <w:top w:val="single" w:color="auto" w:sz="4" w:space="0"/>
              <w:left w:val="single" w:color="auto" w:sz="4" w:space="0"/>
              <w:bottom w:val="single" w:color="auto" w:sz="4" w:space="0"/>
              <w:right w:val="single" w:color="auto" w:sz="4" w:space="0"/>
            </w:tcBorders>
            <w:tcW w:w="286" w:type="pct"/>
            <w:vAlign w:val="center"/>
            <w:vMerge w:val="restart"/>
            <w:textDirection w:val="tbRlV"/>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仪 容 仪 表</w:t>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19</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精神振作、姿态良好、抬头挺胸、注意保持仪表整洁。</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检查记录，每发现1次扣1分；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不准留长发、胡须、留长指甲、不得随地吐痰；禁止披衣、敞怀、挽袖、卷裤脚、穿拖鞋或赤脚。</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检查记录，每发现1次扣1分；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站岗时不许吸烟、吃零食，或将手指或手插入口袋。</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检查记录，每发现1次扣1分；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值班不准吹口哨、乱丢杂物；</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检查记录，每发现1次扣1分；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按规定统一穿着制服、佩戴工作证、系领带，举止要文明；</w:t>
            </w:r>
            <w:r/>
          </w:p>
        </w:tc>
        <w:tc>
          <w:tcPr>
            <w:tcBorders>
              <w:top w:val="single" w:color="auto" w:sz="4" w:space="0"/>
              <w:left w:val="none" w:color="000000" w:sz="4" w:space="0"/>
              <w:bottom w:val="single" w:color="auto" w:sz="4" w:space="0"/>
              <w:right w:val="single" w:color="auto" w:sz="4" w:space="0"/>
            </w:tcBorders>
            <w:tcW w:w="196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检查记录，每发现1次本项为0分；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24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899" w:type="pct"/>
            <w:vAlign w:val="center"/>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小计分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286" w:type="pct"/>
            <w:vAlign w:val="center"/>
            <w:vMerge w:val="restart"/>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职 业 道 德</w:t>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热爱本职工作、敬业精神、认真履行职责、出色完成安全保卫任务。</w:t>
            </w:r>
            <w:r/>
          </w:p>
        </w:tc>
        <w:tc>
          <w:tcPr>
            <w:tcBorders>
              <w:top w:val="single" w:color="auto" w:sz="4" w:space="0"/>
              <w:left w:val="single" w:color="auto" w:sz="4" w:space="0"/>
              <w:bottom w:val="single" w:color="auto" w:sz="4" w:space="0"/>
              <w:right w:val="single" w:color="auto" w:sz="4" w:space="0"/>
            </w:tcBorders>
            <w:tcW w:w="1967" w:type="pct"/>
            <w:vAlign w:val="center"/>
            <w:vMerge w:val="restart"/>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日常观察、意见反馈、调查了解</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24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遵纪守法、切实做到学法、守法、用法。</w:t>
            </w:r>
            <w:r/>
          </w:p>
        </w:tc>
        <w:tc>
          <w:tcPr>
            <w:tcBorders>
              <w:top w:val="single" w:color="auto" w:sz="4" w:space="0"/>
              <w:left w:val="single" w:color="auto" w:sz="4" w:space="0"/>
              <w:bottom w:val="single" w:color="auto" w:sz="4" w:space="0"/>
              <w:right w:val="single" w:color="auto" w:sz="4" w:space="0"/>
            </w:tcBorders>
            <w:tcW w:w="1967" w:type="pct"/>
            <w:vAlign w:val="center"/>
            <w:vMerge w:val="continue"/>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26</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不计较个人得失、乐于奉献、安全工作在任何情况下都将公司的正当权益放到第一位、维护公司利益和财产安全、不惜牺牲一切</w:t>
            </w:r>
            <w:r/>
          </w:p>
        </w:tc>
        <w:tc>
          <w:tcPr>
            <w:tcBorders>
              <w:top w:val="single" w:color="auto" w:sz="4" w:space="0"/>
              <w:left w:val="single" w:color="auto" w:sz="4" w:space="0"/>
              <w:bottom w:val="single" w:color="auto" w:sz="4" w:space="0"/>
              <w:right w:val="single" w:color="auto" w:sz="4" w:space="0"/>
            </w:tcBorders>
            <w:tcW w:w="1967" w:type="pct"/>
            <w:vAlign w:val="center"/>
            <w:vMerge w:val="continue"/>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24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文明执勤、礼貌待人、注重形象。</w:t>
            </w:r>
            <w:r/>
          </w:p>
        </w:tc>
        <w:tc>
          <w:tcPr>
            <w:tcBorders>
              <w:top w:val="single" w:color="auto" w:sz="4" w:space="0"/>
              <w:left w:val="single" w:color="auto" w:sz="4" w:space="0"/>
              <w:bottom w:val="single" w:color="auto" w:sz="4" w:space="0"/>
              <w:right w:val="single" w:color="auto" w:sz="4" w:space="0"/>
            </w:tcBorders>
            <w:tcW w:w="1967" w:type="pct"/>
            <w:vAlign w:val="center"/>
            <w:vMerge w:val="continue"/>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24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28</w:t>
            </w:r>
            <w:r/>
          </w:p>
        </w:tc>
        <w:tc>
          <w:tcPr>
            <w:tcBorders>
              <w:top w:val="single" w:color="auto" w:sz="4" w:space="0"/>
              <w:left w:val="none" w:color="000000" w:sz="4" w:space="0"/>
              <w:bottom w:val="single" w:color="auto" w:sz="4" w:space="0"/>
              <w:right w:val="single" w:color="auto" w:sz="4" w:space="0"/>
            </w:tcBorders>
            <w:tcW w:w="1668" w:type="pct"/>
            <w:vAlign w:val="center"/>
            <w:textDirection w:val="lrTb"/>
            <w:noWrap w:val="false"/>
          </w:tcPr>
          <w:p>
            <w:pP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工作积极主动、坚持原则、大胆管理。</w:t>
            </w:r>
            <w:r/>
          </w:p>
        </w:tc>
        <w:tc>
          <w:tcPr>
            <w:tcBorders>
              <w:top w:val="single" w:color="auto" w:sz="4" w:space="0"/>
              <w:left w:val="single" w:color="auto" w:sz="4" w:space="0"/>
              <w:bottom w:val="single" w:color="auto" w:sz="4" w:space="0"/>
              <w:right w:val="single" w:color="auto" w:sz="4" w:space="0"/>
            </w:tcBorders>
            <w:tcW w:w="1967" w:type="pct"/>
            <w:vAlign w:val="center"/>
            <w:vMerge w:val="continue"/>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240"/>
        </w:trPr>
        <w:tc>
          <w:tcPr>
            <w:tcBorders>
              <w:top w:val="single" w:color="auto" w:sz="4" w:space="0"/>
              <w:left w:val="single" w:color="auto" w:sz="4" w:space="0"/>
              <w:bottom w:val="single" w:color="auto" w:sz="4" w:space="0"/>
              <w:right w:val="single" w:color="auto" w:sz="4" w:space="0"/>
            </w:tcBorders>
            <w:tcW w:w="286" w:type="pct"/>
            <w:vAlign w:val="center"/>
            <w:vMerge w:val="continue"/>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899"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小计分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240"/>
        </w:trPr>
        <w:tc>
          <w:tcPr>
            <w:gridSpan w:val="4"/>
            <w:tcBorders>
              <w:top w:val="single" w:color="auto" w:sz="4" w:space="0"/>
              <w:left w:val="single" w:color="auto" w:sz="4" w:space="0"/>
              <w:bottom w:val="single" w:color="auto" w:sz="4" w:space="0"/>
              <w:right w:val="single" w:color="auto" w:sz="4" w:space="0"/>
            </w:tcBorders>
            <w:tcW w:w="418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合计总分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100</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175"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bl>
    <w:p>
      <w:pPr>
        <w:pStyle w:val="729"/>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center"/>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评审方法与评审标准</w:t>
      </w:r>
      <w:bookmarkEnd w:id="174"/>
      <w:r/>
      <w:r/>
    </w:p>
    <w:p>
      <w:pPr>
        <w:ind w:left="0"/>
        <w:keepLines w:val="0"/>
        <w:keepNext w:val="0"/>
        <w:pageBreakBefore w:val="0"/>
        <w:spacing w:line="500" w:lineRule="exact"/>
        <w:widowControl w:val="off"/>
        <w:rPr>
          <w:rFonts w:ascii="宋体" w:hAnsi="宋体" w:cs="Courier New"/>
          <w:b/>
          <w:bCs/>
          <w:color w:val="000000"/>
          <w:sz w:val="24"/>
          <w:szCs w:val="24"/>
        </w:rPr>
      </w:pPr>
      <w:r>
        <w:rPr>
          <w:rFonts w:hint="eastAsia" w:ascii="宋体" w:hAnsi="宋体" w:cs="Courier New"/>
          <w:b/>
          <w:bCs/>
          <w:color w:val="000000"/>
          <w:sz w:val="24"/>
          <w:szCs w:val="24"/>
        </w:rPr>
        <w:t xml:space="preserve">一、定标原则</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cs="Arial"/>
          <w:color w:val="000000"/>
          <w:sz w:val="24"/>
          <w:szCs w:val="24"/>
        </w:rPr>
        <w:t xml:space="preserve">评委会将对确定为实质性响应磋商文件要求的响应文件进行评价和比较，评标采用综合评分法确定中标候选供应商。响应文件满足磋商文件全部实质性要求，且按照评审因素的量化指标评审得分最高的投标人为排名第一的中标候选供应商。按评审后得分由高到低顺序排列，评审得分相同的，按照最后报价由低到高的顺序推荐。评审得分且最后报价相同的，按照技术指标优劣顺序推荐。</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cs="Arial"/>
          <w:color w:val="000000"/>
          <w:sz w:val="24"/>
          <w:szCs w:val="24"/>
        </w:rPr>
        <w:t xml:space="preserve">请投标人在最高限价以下进行投标报价，投标报价高于最高限价的投标报价，采购人将不予接受，视为无效响应文件，并将视为恶意投标，将提交财政部门按相关法规处理。</w:t>
      </w:r>
      <w:r/>
    </w:p>
    <w:p>
      <w:pPr>
        <w:ind w:left="0" w:firstLine="480"/>
        <w:keepLines w:val="0"/>
        <w:keepNext w:val="0"/>
        <w:pageBreakBefore w:val="0"/>
        <w:spacing w:line="500" w:lineRule="exact"/>
        <w:widowControl w:val="off"/>
        <w:rPr>
          <w:rFonts w:hint="eastAsia" w:ascii="宋体" w:hAnsi="宋体" w:cs="Arial"/>
          <w:b/>
          <w:bCs/>
          <w:color w:val="000000"/>
          <w:sz w:val="24"/>
          <w:szCs w:val="24"/>
        </w:rPr>
      </w:pPr>
      <w:r>
        <w:rPr>
          <w:rFonts w:hint="eastAsia" w:ascii="宋体" w:hAnsi="宋体" w:cs="Arial"/>
          <w:b/>
          <w:bCs/>
          <w:color w:val="000000"/>
          <w:sz w:val="24"/>
          <w:szCs w:val="24"/>
        </w:rPr>
        <w:t xml:space="preserve">二、政府采购政策功能落实</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1、中小微型企业有关政策</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1）根据工信部等部委发布的《关于印发中小企业划型标准规定的通知》（工信部联企业〔2011〕300号），根据具体品目确定相应标准。符合上述条件的小微型企业应按照招标文件中的格式要求提供《小微企业声明函》。</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（2）本项目为非预留份额的采购项目或采购包，执行价格扣除优惠政策，给予小微型企业、监狱企业或残疾人福利性单位报价给予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（3）供应商须按照采购文件要求提供相应的《企业声明函》（格式附后），不提供声明函或有弄虚作假的，将依法承担相应责任。</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（4）根据工信部等部委发布的《关于印发中小企业划型标准规定的通知》（工信部联企业【2011】300号）文件规定自行填写，根据具体品目确定相应标准。</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（5）以上规定未尽事项，按《政府采购促进中小企业发展管理办法》 （财库【2020】46号）等有关制度规定执行。</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2、监狱和戒毒企业</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（1）本项目对监狱和戒毒企业（简称监狱企业）视同小型、微型企业。</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（3）监狱企业标准请参照《关于政府采购支持监狱企业发展有关问题的通知》（财库[2014]68号）。</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3、残疾人福利单位、监狱企业属于小型、微型企业的，不重复享受政策。</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eastAsia="宋体" w:cs="Arial"/>
          <w:color w:val="000000"/>
          <w:sz w:val="24"/>
          <w:szCs w:val="24"/>
          <w:lang w:val="en-US" w:eastAsia="zh-CN"/>
        </w:rPr>
        <w:t xml:space="preserve">4</w:t>
      </w:r>
      <w:r>
        <w:rPr>
          <w:rFonts w:hint="eastAsia" w:ascii="宋体" w:hAnsi="宋体" w:cs="Arial"/>
          <w:color w:val="000000"/>
          <w:sz w:val="24"/>
          <w:szCs w:val="24"/>
        </w:rPr>
        <w:t xml:space="preserve">、供应商对于投标产品的商品包装、快递包装应按照“财办库〔2020〕123号《关于印发《商品包装政府采购需求标准（试行）》、《快递包装政府采购需求标准（试行）》的通知》”执行。</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eastAsia="宋体" w:cs="Arial"/>
          <w:color w:val="000000"/>
          <w:sz w:val="24"/>
          <w:szCs w:val="24"/>
          <w:lang w:val="en-US" w:eastAsia="zh-CN"/>
        </w:rPr>
        <w:t xml:space="preserve">5</w:t>
      </w:r>
      <w:r>
        <w:rPr>
          <w:rFonts w:hint="eastAsia" w:ascii="宋体" w:hAnsi="宋体" w:cs="Arial"/>
          <w:color w:val="000000"/>
          <w:sz w:val="24"/>
          <w:szCs w:val="24"/>
        </w:rPr>
        <w:t xml:space="preserve">、本文件中若涉及到数据中心采购，应按照《&lt;绿色数据中心政府采购需求标准（试行）&gt;的通知》（财库〔2023〕7号）执行。</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eastAsia="宋体" w:cs="Arial"/>
          <w:color w:val="000000"/>
          <w:sz w:val="24"/>
          <w:szCs w:val="24"/>
          <w:lang w:val="en-US" w:eastAsia="zh-CN"/>
        </w:rPr>
        <w:t xml:space="preserve">6</w:t>
      </w:r>
      <w:r>
        <w:rPr>
          <w:rFonts w:hint="eastAsia" w:ascii="宋体" w:hAnsi="宋体" w:cs="Arial"/>
          <w:color w:val="000000"/>
          <w:sz w:val="24"/>
          <w:szCs w:val="24"/>
        </w:rPr>
        <w:t xml:space="preserve">、严格执行政府采购关于支持节能产品、环境标志产品的相关政策规定。如本次</w:t>
      </w:r>
      <w:r>
        <w:rPr>
          <w:rFonts w:hint="eastAsia" w:ascii="宋体" w:hAnsi="宋体" w:cs="Arial"/>
          <w:color w:val="000000"/>
          <w:sz w:val="24"/>
          <w:szCs w:val="24"/>
          <w:lang w:val="en-US" w:eastAsia="zh-CN"/>
        </w:rPr>
        <w:t xml:space="preserve">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Arial"/>
          <w:color w:val="000000"/>
          <w:sz w:val="24"/>
          <w:szCs w:val="24"/>
        </w:rPr>
        <w:t xml:space="preserve">如属政府强制采购产品未提供认证证书的或认证证书提供不全的将视为未实质性响应采购要求。其他条件相同情况下，应当优先采购节能产品、环境标志产品。</w:t>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rPr>
      </w:pPr>
      <w:r>
        <w:rPr>
          <w:rFonts w:hint="eastAsia" w:ascii="宋体" w:hAnsi="宋体" w:eastAsia="宋体" w:cs="宋体"/>
          <w:b/>
          <w:color w:val="000000"/>
          <w:lang w:val="en-US" w:eastAsia="zh-CN"/>
        </w:rPr>
        <w:t xml:space="preserve">三、</w:t>
      </w:r>
      <w:r>
        <w:rPr>
          <w:rFonts w:hint="eastAsia" w:ascii="宋体" w:hAnsi="宋体" w:eastAsia="宋体" w:cs="宋体"/>
          <w:b/>
          <w:color w:val="000000"/>
        </w:rPr>
        <w:t xml:space="preserve">评审方法与评审标准</w:t>
      </w:r>
      <w:bookmarkStart w:id="189" w:name="_GoBack"/>
      <w:r/>
      <w:bookmarkEnd w:id="189"/>
      <w:r/>
      <w:r/>
    </w:p>
    <w:tbl>
      <w:tblPr>
        <w:tblStyle w:val="702"/>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35"/>
        <w:gridCol w:w="728"/>
        <w:gridCol w:w="7720"/>
        <w:gridCol w:w="702"/>
      </w:tblGrid>
      <w:tr>
        <w:trPr>
          <w:jc w:val="center"/>
          <w:trHeight w:val="537"/>
        </w:trPr>
        <w:tc>
          <w:tcPr>
            <w:shd w:val="clear" w:color="auto" w:fill="ffffff"/>
            <w:tcW w:w="53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ffffff"/>
            <w:tcW w:w="72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评审项目</w:t>
            </w:r>
            <w:r/>
          </w:p>
        </w:tc>
        <w:tc>
          <w:tcPr>
            <w:shd w:val="clear" w:color="auto" w:fill="ffffff"/>
            <w:tcW w:w="772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 审 内 容</w:t>
            </w:r>
            <w:r/>
          </w:p>
        </w:tc>
        <w:tc>
          <w:tcPr>
            <w:shd w:val="clear" w:color="auto" w:fill="ffffff"/>
            <w:tcW w:w="70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分值</w:t>
            </w:r>
            <w:r/>
          </w:p>
        </w:tc>
      </w:tr>
      <w:tr>
        <w:trPr>
          <w:jc w:val="center"/>
          <w:trHeight w:val="0"/>
        </w:trPr>
        <w:tc>
          <w:tcPr>
            <w:shd w:val="clear" w:color="auto" w:fill="ffffff"/>
            <w:tcW w:w="535"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 xml:space="preserve">1</w:t>
            </w:r>
            <w:r/>
          </w:p>
        </w:tc>
        <w:tc>
          <w:tcPr>
            <w:shd w:val="clear" w:color="auto" w:fill="ffffff"/>
            <w:tcW w:w="72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价格部分</w:t>
            </w:r>
            <w:r/>
          </w:p>
        </w:tc>
        <w:tc>
          <w:tcPr>
            <w:shd w:val="clear" w:color="auto" w:fill="ffffff"/>
            <w:tcW w:w="7720" w:type="dxa"/>
            <w:vAlign w:val="top"/>
            <w:textDirection w:val="lrTb"/>
            <w:noWrap w:val="false"/>
          </w:tcPr>
          <w:p>
            <w:pPr>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1.采用低价优先法，即满足</w:t>
            </w:r>
            <w:r>
              <w:rPr>
                <w:rFonts w:hint="eastAsia" w:ascii="宋体" w:hAnsi="宋体" w:eastAsia="宋体"/>
                <w:sz w:val="24"/>
                <w:szCs w:val="24"/>
                <w:lang w:val="en-US" w:eastAsia="zh-CN"/>
              </w:rPr>
              <w:t xml:space="preserve">磋商</w:t>
            </w:r>
            <w:r>
              <w:rPr>
                <w:rFonts w:hint="eastAsia" w:ascii="宋体" w:hAnsi="宋体" w:eastAsia="宋体"/>
                <w:sz w:val="24"/>
                <w:szCs w:val="24"/>
              </w:rPr>
              <w:t xml:space="preserve">文件要求且投标价格最低的投标总报价为评标基准价，其价格分为满分。</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sz w:val="24"/>
                <w:szCs w:val="24"/>
              </w:rPr>
              <w:t xml:space="preserve">2.其他供应商的价格分统一按下列公式计算：投标报价得分＝（评标基准价/投标总报价）×</w:t>
            </w:r>
            <w:r>
              <w:rPr>
                <w:rFonts w:hint="eastAsia" w:ascii="宋体" w:hAnsi="宋体" w:eastAsia="宋体"/>
                <w:sz w:val="24"/>
                <w:szCs w:val="24"/>
                <w:lang w:val="en-US" w:eastAsia="zh-CN"/>
              </w:rPr>
              <w:t xml:space="preserve">10</w:t>
            </w:r>
            <w:r>
              <w:rPr>
                <w:rFonts w:hint="eastAsia" w:ascii="宋体" w:hAnsi="宋体" w:eastAsia="宋体"/>
                <w:sz w:val="24"/>
                <w:szCs w:val="24"/>
              </w:rPr>
              <w:t xml:space="preserve">（按四舍五入取至小数点后两位）</w:t>
            </w:r>
            <w:r/>
          </w:p>
        </w:tc>
        <w:tc>
          <w:tcPr>
            <w:shd w:val="clear" w:color="auto" w:fill="ffffff"/>
            <w:tcW w:w="70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r>
      <w:tr>
        <w:trPr>
          <w:jc w:val="center"/>
          <w:trHeight w:val="5052"/>
        </w:trPr>
        <w:tc>
          <w:tcPr>
            <w:shd w:val="clear" w:color="auto" w:fill="ffffff"/>
            <w:tcW w:w="535" w:type="dxa"/>
            <w:vAlign w:val="center"/>
            <w:textDirection w:val="lrTb"/>
            <w:noWrap w:val="false"/>
          </w:tcPr>
          <w:p>
            <w:pPr>
              <w:ind w:firstLine="420"/>
              <w:jc w:val="left"/>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w:t>
            </w:r>
            <w:r/>
          </w:p>
        </w:tc>
        <w:tc>
          <w:tcPr>
            <w:shd w:val="clear" w:color="auto" w:fill="ffffff"/>
            <w:tcW w:w="728" w:type="dxa"/>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服务方案</w:t>
            </w:r>
            <w:r/>
          </w:p>
        </w:tc>
        <w:tc>
          <w:tcPr>
            <w:shd w:val="clear" w:color="auto" w:fill="ffffff"/>
            <w:tcW w:w="7720" w:type="dxa"/>
            <w:vAlign w:val="top"/>
            <w:textDirection w:val="lrTb"/>
            <w:noWrap w:val="false"/>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1、目标与责任</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方案应包括但不限于:①</w:t>
            </w:r>
            <w:r>
              <w:rPr>
                <w:rFonts w:hint="eastAsia" w:ascii="宋体" w:hAnsi="宋体" w:eastAsia="宋体" w:cs="宋体"/>
                <w:color w:val="000000"/>
                <w:sz w:val="24"/>
                <w:szCs w:val="24"/>
                <w:lang w:val="en-US" w:eastAsia="zh-CN"/>
              </w:rPr>
              <w:t xml:space="preserve">年度管理目标。</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制定配套实施方案。</w:t>
            </w:r>
            <w:r>
              <w:rPr>
                <w:rFonts w:hint="eastAsia" w:ascii="宋体" w:hAnsi="宋体" w:eastAsia="宋体" w:cs="宋体"/>
                <w:color w:val="000000"/>
                <w:sz w:val="24"/>
                <w:szCs w:val="24"/>
              </w:rPr>
              <w:t xml:space="preserve">要求方案细致完整、针对性强、措施有力，方案的贯彻应能满足本项目各项服务要求。</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方案内容描述全面合理符合采购需求的得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每有一项内容缺失的扣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每有一处内容存在缺陷或不满足要求的扣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）未提供方案不得分。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2、服务人员要求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方案应包括但不限于:①</w:t>
            </w:r>
            <w:r>
              <w:rPr>
                <w:rFonts w:hint="eastAsia" w:ascii="宋体" w:hAnsi="宋体" w:eastAsia="宋体" w:cs="宋体"/>
                <w:color w:val="000000"/>
                <w:sz w:val="24"/>
                <w:szCs w:val="24"/>
                <w:lang w:val="en-US" w:eastAsia="zh-CN"/>
              </w:rPr>
              <w:t xml:space="preserve">培训及考核</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人员管理制度</w:t>
            </w:r>
            <w:r>
              <w:rPr>
                <w:rFonts w:hint="eastAsia" w:ascii="宋体" w:hAnsi="宋体" w:eastAsia="宋体" w:cs="宋体"/>
                <w:color w:val="000000"/>
                <w:sz w:val="24"/>
                <w:szCs w:val="24"/>
              </w:rPr>
              <w:t xml:space="preserve">③人员配备</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方面。要求方案细致完整、针对性强、措施有力，方案的贯彻应能满足本项目各项服务要求。</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方案内容描述全面合理符合采购需求的得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每有一项内容缺失的扣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每有一处内容存在缺陷或不满足要求的扣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）未提供方案不得分。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3、保密和思想政治教育</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方案应包括但不限于:①</w:t>
            </w:r>
            <w:r>
              <w:rPr>
                <w:rFonts w:hint="eastAsia" w:ascii="宋体" w:hAnsi="宋体" w:eastAsia="宋体" w:cs="宋体"/>
                <w:color w:val="000000"/>
                <w:sz w:val="24"/>
                <w:szCs w:val="24"/>
                <w:lang w:val="en-US" w:eastAsia="zh-CN"/>
              </w:rPr>
              <w:t xml:space="preserve">保密管理制度</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保密、思想政治教育的培训。</w:t>
            </w:r>
            <w:r>
              <w:rPr>
                <w:rFonts w:hint="eastAsia" w:ascii="宋体" w:hAnsi="宋体" w:eastAsia="宋体" w:cs="宋体"/>
                <w:color w:val="000000"/>
                <w:sz w:val="24"/>
                <w:szCs w:val="24"/>
              </w:rPr>
              <w:t xml:space="preserve">要求方案细致完整、针对性强、措施有力，方案的贯彻应能满足本项目各项服务要求。</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方案内容描述全面合理符合采购需求的得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每有一项内容缺失的扣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每有一处内容存在缺陷或不满足要求的扣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）未提供方案不得分。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4、档案管理制度方案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方案应包括但不限于:</w:t>
            </w:r>
            <w:r>
              <w:rPr>
                <w:rFonts w:hint="eastAsia" w:ascii="宋体" w:hAnsi="宋体" w:eastAsia="宋体" w:cs="宋体"/>
                <w:color w:val="000000"/>
                <w:sz w:val="24"/>
                <w:szCs w:val="24"/>
                <w:lang w:val="en-US" w:eastAsia="zh-CN"/>
              </w:rPr>
              <w:t xml:space="preserve">①人事档案、‌‌客户档案‌；②‌业务档案、‌设备档案、‌培训档案。</w:t>
            </w:r>
            <w:r>
              <w:rPr>
                <w:rFonts w:hint="eastAsia" w:ascii="宋体" w:hAnsi="宋体" w:eastAsia="宋体" w:cs="宋体"/>
                <w:color w:val="000000"/>
                <w:sz w:val="24"/>
                <w:szCs w:val="24"/>
              </w:rPr>
              <w:t xml:space="preserve">要求方案细致完整、针对性强、措施有力，方案的贯彻应能满足本项目各项服务要求。</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方案内容描述全面合理符合采购需求的得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每有一项内容缺失的扣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每有一处内容存在缺陷或不满足要求的扣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）未提供方案不得分。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5、服务改进方案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方案应包括但不限于:</w:t>
            </w:r>
            <w:r>
              <w:rPr>
                <w:rFonts w:hint="eastAsia" w:ascii="宋体" w:hAnsi="宋体" w:eastAsia="宋体" w:cs="宋体"/>
                <w:color w:val="000000"/>
                <w:sz w:val="24"/>
                <w:szCs w:val="24"/>
                <w:lang w:val="en-US" w:eastAsia="zh-CN"/>
              </w:rPr>
              <w:t xml:space="preserve">①项目负责人工作内容改进措施；②服务内容改进措施；③须整改问题的改进措施。</w:t>
            </w:r>
            <w:r>
              <w:rPr>
                <w:rFonts w:hint="eastAsia" w:ascii="宋体" w:hAnsi="宋体" w:eastAsia="宋体" w:cs="宋体"/>
                <w:color w:val="000000"/>
                <w:sz w:val="24"/>
                <w:szCs w:val="24"/>
              </w:rPr>
              <w:t xml:space="preserve">要求方案细致完整、针对性强、措施有力，方案的贯彻应能满足本项目各项服务要求。</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方案内容描述全面合理符合采购需求的得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每有一项内容缺失的扣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每有一处内容存在缺陷或不满足要求的扣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）未提供方案不得分。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6、重大活动后勤保障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方案应包括但不限于:①</w:t>
            </w:r>
            <w:r>
              <w:rPr>
                <w:rFonts w:hint="eastAsia" w:ascii="宋体" w:hAnsi="宋体" w:eastAsia="宋体" w:cs="宋体"/>
                <w:color w:val="000000"/>
                <w:sz w:val="24"/>
                <w:szCs w:val="24"/>
                <w:lang w:val="en-US" w:eastAsia="zh-CN"/>
              </w:rPr>
              <w:t xml:space="preserve">制订流程；</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实施保障；</w:t>
            </w: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lang w:val="en-US" w:eastAsia="zh-CN"/>
              </w:rPr>
              <w:t xml:space="preserve">收尾工作等方面。</w:t>
            </w:r>
            <w:r>
              <w:rPr>
                <w:rFonts w:hint="eastAsia" w:ascii="宋体" w:hAnsi="宋体" w:eastAsia="宋体" w:cs="宋体"/>
                <w:color w:val="000000"/>
                <w:sz w:val="24"/>
                <w:szCs w:val="24"/>
              </w:rPr>
              <w:t xml:space="preserve">要求方案细致完整、针对性强、措施有力，方案的贯彻应能满足本项目各项服务要求。</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方案内容描述全面合理符合采购需求的得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每有一项内容缺失的扣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每有一处内容存在缺陷或不满足要求的扣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）未提供方案不得分。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7.应急保障预案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方案应包括但不限于:①</w:t>
            </w:r>
            <w:r>
              <w:rPr>
                <w:rFonts w:hint="eastAsia" w:ascii="宋体" w:hAnsi="宋体" w:eastAsia="宋体" w:cs="宋体"/>
                <w:color w:val="000000"/>
                <w:sz w:val="24"/>
                <w:szCs w:val="24"/>
                <w:lang w:val="en-US" w:eastAsia="zh-CN"/>
              </w:rPr>
              <w:t xml:space="preserve">重点区域及安全隐患排查；</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应急预案的建立；</w:t>
            </w: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lang w:val="en-US" w:eastAsia="zh-CN"/>
              </w:rPr>
              <w:t xml:space="preserve">应急预案的培训和演练；④应急物资的管理等方面。</w:t>
            </w:r>
            <w:r>
              <w:rPr>
                <w:rFonts w:hint="eastAsia" w:ascii="宋体" w:hAnsi="宋体" w:eastAsia="宋体" w:cs="宋体"/>
                <w:color w:val="000000"/>
                <w:sz w:val="24"/>
                <w:szCs w:val="24"/>
              </w:rPr>
              <w:t xml:space="preserve">要求方案细致完整、针对性强、措施有力，方案的贯彻应能满足本项目各项服务要求。</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方案内容描述全面合理符合采购需求的得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每有一项内容缺失的扣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每有一处内容存在缺陷或不满足要求的扣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）未提供方案不得分。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8.服务方案及日常管理措施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方案应包括但不限于:①</w:t>
            </w:r>
            <w:r>
              <w:rPr>
                <w:rFonts w:hint="eastAsia" w:ascii="宋体" w:hAnsi="宋体" w:eastAsia="宋体" w:cs="宋体"/>
                <w:color w:val="000000"/>
                <w:sz w:val="24"/>
                <w:szCs w:val="24"/>
                <w:lang w:val="en-US" w:eastAsia="zh-CN"/>
              </w:rPr>
              <w:t xml:space="preserve">制定工作制度；</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制定项目实施方案等方面。</w:t>
            </w:r>
            <w:r>
              <w:rPr>
                <w:rFonts w:hint="eastAsia" w:ascii="宋体" w:hAnsi="宋体" w:eastAsia="宋体" w:cs="宋体"/>
                <w:color w:val="000000"/>
                <w:sz w:val="24"/>
                <w:szCs w:val="24"/>
              </w:rPr>
              <w:t xml:space="preserve">要求方案细致完整、针对性强、措施有力，方案的贯彻应能满足本项目各项服务要求。</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方案内容描述全面合理符合采购需求的得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每有一项内容缺失的扣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每有一处内容存在缺陷或不满足要求的扣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）未提供方案不得分。</w:t>
            </w:r>
            <w:r/>
          </w:p>
        </w:tc>
        <w:tc>
          <w:tcPr>
            <w:shd w:val="clear" w:color="auto" w:fill="ffffff"/>
            <w:tcW w:w="702" w:type="dxa"/>
            <w:vAlign w:val="center"/>
            <w:textDirection w:val="lrTb"/>
            <w:noWrap w:val="false"/>
          </w:tcPr>
          <w:p>
            <w:pPr>
              <w:jc w:val="left"/>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57</w:t>
            </w:r>
            <w:r/>
          </w:p>
        </w:tc>
      </w:tr>
      <w:tr>
        <w:trPr>
          <w:jc w:val="center"/>
          <w:trHeight w:val="456"/>
        </w:trPr>
        <w:tc>
          <w:tcPr>
            <w:shd w:val="clear" w:color="auto" w:fill="ffffff"/>
            <w:tcW w:w="535" w:type="dxa"/>
            <w:vAlign w:val="center"/>
            <w:textDirection w:val="lrTb"/>
            <w:noWrap w:val="false"/>
          </w:tcPr>
          <w:p>
            <w:pPr>
              <w:ind w:firstLine="420"/>
              <w:jc w:val="left"/>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3</w:t>
            </w:r>
            <w:r/>
          </w:p>
        </w:tc>
        <w:tc>
          <w:tcPr>
            <w:shd w:val="clear" w:color="auto" w:fill="ffffff"/>
            <w:tcW w:w="728" w:type="dxa"/>
            <w:vAlign w:val="center"/>
            <w:textDirection w:val="lrTb"/>
            <w:noWrap w:val="false"/>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项目负责人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lang w:eastAsia="zh-CN"/>
              </w:rPr>
              <w:t xml:space="preserve">分）</w:t>
            </w:r>
            <w:r/>
          </w:p>
        </w:tc>
        <w:tc>
          <w:tcPr>
            <w:shd w:val="clear" w:color="auto" w:fill="ffffff"/>
            <w:tcW w:w="7720" w:type="dxa"/>
            <w:vAlign w:val="center"/>
            <w:textDirection w:val="lrTb"/>
            <w:noWrap w:val="false"/>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拟派项目</w:t>
            </w:r>
            <w:r>
              <w:rPr>
                <w:rFonts w:hint="eastAsia" w:ascii="宋体" w:hAnsi="宋体" w:eastAsia="宋体" w:cs="宋体"/>
                <w:color w:val="000000"/>
                <w:sz w:val="24"/>
                <w:szCs w:val="24"/>
                <w:lang w:val="en-US" w:eastAsia="zh-CN"/>
              </w:rPr>
              <w:t xml:space="preserve">负责人</w:t>
            </w:r>
            <w:r>
              <w:rPr>
                <w:rFonts w:hint="eastAsia" w:ascii="宋体" w:hAnsi="宋体" w:eastAsia="宋体" w:cs="宋体"/>
                <w:color w:val="000000"/>
                <w:sz w:val="24"/>
                <w:szCs w:val="24"/>
                <w:lang w:eastAsia="zh-CN"/>
              </w:rPr>
              <w:t xml:space="preserve">具有“退伍军人优待证或退伍证”的</w:t>
            </w:r>
            <w:r>
              <w:rPr>
                <w:rFonts w:hint="eastAsia" w:ascii="宋体" w:hAnsi="宋体" w:eastAsia="宋体" w:cs="宋体"/>
                <w:color w:val="000000"/>
                <w:sz w:val="24"/>
                <w:szCs w:val="24"/>
                <w:lang w:val="en-US" w:eastAsia="zh-CN"/>
              </w:rPr>
              <w:t xml:space="preserve">得5分。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2、拟派项目负责人自2021年1月1日起获得过县级及以上行业主管部门颁发的关于保安服务类表彰的，有一项，得4分，满分8分。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w:t>
            </w:r>
            <w:r>
              <w:rPr>
                <w:rFonts w:hint="eastAsia" w:ascii="宋体" w:hAnsi="宋体" w:eastAsia="宋体" w:cs="宋体"/>
                <w:color w:val="000000"/>
                <w:sz w:val="24"/>
                <w:szCs w:val="24"/>
                <w:lang w:val="zh-CN" w:eastAsia="zh-CN"/>
              </w:rPr>
              <w:t xml:space="preserve">提供</w:t>
            </w:r>
            <w:r>
              <w:rPr>
                <w:rFonts w:hint="eastAsia" w:ascii="宋体" w:hAnsi="宋体" w:eastAsia="宋体" w:cs="宋体"/>
                <w:color w:val="000000"/>
                <w:sz w:val="24"/>
                <w:szCs w:val="24"/>
                <w:lang w:val="en-US" w:eastAsia="zh-CN"/>
              </w:rPr>
              <w:t xml:space="preserve">项目负责人的相关证书、表彰材料</w:t>
            </w:r>
            <w:r>
              <w:rPr>
                <w:rFonts w:hint="eastAsia" w:ascii="宋体" w:hAnsi="宋体" w:eastAsia="宋体" w:cs="宋体"/>
                <w:color w:val="000000"/>
                <w:sz w:val="24"/>
                <w:szCs w:val="24"/>
                <w:lang w:val="zh-CN" w:eastAsia="zh-CN"/>
              </w:rPr>
              <w:t xml:space="preserve">原件</w:t>
            </w:r>
            <w:r>
              <w:rPr>
                <w:rFonts w:hint="eastAsia" w:ascii="宋体" w:hAnsi="宋体" w:eastAsia="宋体" w:cs="宋体"/>
                <w:color w:val="000000"/>
                <w:sz w:val="24"/>
                <w:szCs w:val="24"/>
                <w:lang w:val="en-US" w:eastAsia="zh-CN"/>
              </w:rPr>
              <w:t xml:space="preserve">彩色扫描件；拟派的项目负责人须为投标供应商正式在职人员，投标供应商须提供相关证明材料，否则不得分。</w:t>
            </w:r>
            <w:r/>
          </w:p>
        </w:tc>
        <w:tc>
          <w:tcPr>
            <w:shd w:val="clear" w:color="auto" w:fill="ffffff"/>
            <w:tcW w:w="702" w:type="dxa"/>
            <w:vAlign w:val="center"/>
            <w:textDirection w:val="lrTb"/>
            <w:noWrap w:val="false"/>
          </w:tcPr>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p>
        </w:tc>
      </w:tr>
      <w:tr>
        <w:trPr>
          <w:jc w:val="center"/>
          <w:trHeight w:val="1174"/>
        </w:trPr>
        <w:tc>
          <w:tcPr>
            <w:shd w:val="clear" w:color="auto" w:fill="ffffff"/>
            <w:tcW w:w="535" w:type="dxa"/>
            <w:vAlign w:val="center"/>
            <w:textDirection w:val="lrTb"/>
            <w:noWrap w:val="false"/>
          </w:tcPr>
          <w:p>
            <w:pPr>
              <w:ind w:firstLine="420"/>
              <w:jc w:val="left"/>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4</w:t>
            </w:r>
            <w:r/>
          </w:p>
        </w:tc>
        <w:tc>
          <w:tcPr>
            <w:shd w:val="clear" w:color="auto" w:fill="ffffff"/>
            <w:tcW w:w="728" w:type="dxa"/>
            <w:vAlign w:val="center"/>
            <w:textDirection w:val="lrTb"/>
            <w:noWrap w:val="false"/>
          </w:tcPr>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业绩</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分)</w:t>
            </w:r>
            <w:r/>
          </w:p>
        </w:tc>
        <w:tc>
          <w:tcPr>
            <w:shd w:val="clear" w:color="auto" w:fill="ffffff"/>
            <w:tcW w:w="7720" w:type="dxa"/>
            <w:vAlign w:val="center"/>
            <w:textDirection w:val="lrTb"/>
            <w:noWrap w:val="false"/>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投标人</w:t>
            </w:r>
            <w:r>
              <w:rPr>
                <w:rFonts w:hint="eastAsia" w:ascii="宋体" w:hAnsi="宋体" w:eastAsia="宋体" w:cs="宋体"/>
                <w:color w:val="000000"/>
                <w:sz w:val="24"/>
                <w:szCs w:val="24"/>
                <w:lang w:val="en-US" w:eastAsia="zh-CN"/>
              </w:rPr>
              <w:t xml:space="preserve">自</w:t>
            </w:r>
            <w:r>
              <w:rPr>
                <w:rFonts w:hint="eastAsia" w:ascii="宋体" w:hAnsi="宋体" w:eastAsia="宋体" w:cs="宋体"/>
                <w:color w:val="000000"/>
                <w:sz w:val="24"/>
                <w:szCs w:val="24"/>
                <w:lang w:val="zh-CN" w:eastAsia="zh-CN"/>
              </w:rPr>
              <w:t xml:space="preserve"> 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年1月1日至今承担过</w:t>
            </w:r>
            <w:r>
              <w:rPr>
                <w:rFonts w:hint="eastAsia" w:ascii="宋体" w:hAnsi="宋体" w:eastAsia="宋体" w:cs="宋体"/>
                <w:color w:val="000000"/>
                <w:sz w:val="24"/>
                <w:szCs w:val="24"/>
                <w:lang w:val="en-US" w:eastAsia="zh-CN"/>
              </w:rPr>
              <w:t xml:space="preserve">安保服务类</w:t>
            </w:r>
            <w:r>
              <w:rPr>
                <w:rFonts w:hint="eastAsia" w:ascii="宋体" w:hAnsi="宋体" w:eastAsia="宋体" w:cs="宋体"/>
                <w:color w:val="000000"/>
                <w:sz w:val="24"/>
                <w:szCs w:val="24"/>
                <w:lang w:val="zh-CN" w:eastAsia="zh-CN"/>
              </w:rPr>
              <w:t xml:space="preserve">项目业绩的，每有一</w:t>
            </w:r>
            <w:r>
              <w:rPr>
                <w:rFonts w:hint="eastAsia" w:ascii="宋体" w:hAnsi="宋体" w:eastAsia="宋体" w:cs="宋体"/>
                <w:color w:val="000000"/>
                <w:sz w:val="24"/>
                <w:szCs w:val="24"/>
                <w:lang w:val="en-US" w:eastAsia="zh-CN"/>
              </w:rPr>
              <w:t xml:space="preserve">个</w:t>
            </w:r>
            <w:r>
              <w:rPr>
                <w:rFonts w:hint="eastAsia" w:ascii="宋体" w:hAnsi="宋体" w:eastAsia="宋体" w:cs="宋体"/>
                <w:color w:val="000000"/>
                <w:sz w:val="24"/>
                <w:szCs w:val="24"/>
                <w:lang w:val="zh-CN" w:eastAsia="zh-CN"/>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分，满分15分。(以合同签订日期为准，提供合同原件</w:t>
            </w:r>
            <w:r>
              <w:rPr>
                <w:rFonts w:hint="eastAsia" w:ascii="宋体" w:hAnsi="宋体" w:eastAsia="宋体" w:cs="宋体"/>
                <w:color w:val="000000"/>
                <w:sz w:val="24"/>
                <w:szCs w:val="24"/>
                <w:lang w:val="en-US" w:eastAsia="zh-CN"/>
              </w:rPr>
              <w:t xml:space="preserve">原件彩色扫描件及对应业绩的任意一张发票复印件</w:t>
            </w:r>
            <w:r>
              <w:rPr>
                <w:rFonts w:hint="eastAsia" w:ascii="宋体" w:hAnsi="宋体" w:eastAsia="宋体" w:cs="宋体"/>
                <w:color w:val="000000"/>
                <w:sz w:val="24"/>
                <w:szCs w:val="24"/>
                <w:lang w:val="zh-CN" w:eastAsia="zh-CN"/>
              </w:rPr>
              <w:t xml:space="preserve">)</w:t>
            </w:r>
            <w:r/>
          </w:p>
        </w:tc>
        <w:tc>
          <w:tcPr>
            <w:shd w:val="clear" w:color="auto" w:fill="ffffff"/>
            <w:tcW w:w="702" w:type="dxa"/>
            <w:vAlign w:val="center"/>
            <w:textDirection w:val="lrTb"/>
            <w:noWrap w:val="false"/>
          </w:tcPr>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en-US" w:eastAsia="zh-CN"/>
              </w:rPr>
              <w:t xml:space="preserve">5</w:t>
            </w:r>
            <w:r/>
          </w:p>
        </w:tc>
      </w:tr>
      <w:tr>
        <w:trPr>
          <w:jc w:val="center"/>
          <w:trHeight w:val="0"/>
        </w:trPr>
        <w:tc>
          <w:tcPr>
            <w:shd w:val="clear" w:color="auto" w:fill="ffffff"/>
            <w:tcW w:w="535" w:type="dxa"/>
            <w:vAlign w:val="center"/>
            <w:textDirection w:val="lrTb"/>
            <w:noWrap w:val="false"/>
          </w:tcPr>
          <w:p>
            <w:pPr>
              <w:ind w:firstLine="420"/>
              <w:jc w:val="left"/>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5</w:t>
            </w:r>
            <w:r/>
          </w:p>
        </w:tc>
        <w:tc>
          <w:tcPr>
            <w:shd w:val="clear" w:color="auto" w:fill="ffffff"/>
            <w:tcW w:w="728" w:type="dxa"/>
            <w:vAlign w:val="center"/>
            <w:textDirection w:val="lrTb"/>
            <w:noWrap w:val="false"/>
          </w:tcPr>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企业实力</w:t>
            </w:r>
            <w:r/>
          </w:p>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分）</w:t>
            </w:r>
            <w:r/>
          </w:p>
        </w:tc>
        <w:tc>
          <w:tcPr>
            <w:shd w:val="clear" w:color="auto" w:fill="ffffff"/>
            <w:tcW w:w="7720" w:type="dxa"/>
            <w:vAlign w:val="center"/>
            <w:textDirection w:val="lrTb"/>
            <w:noWrap w:val="false"/>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val="zh-CN" w:eastAsia="zh-CN"/>
              </w:rPr>
              <w:t xml:space="preserve">20</w:t>
            </w: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lang w:val="zh-CN" w:eastAsia="zh-CN"/>
              </w:rPr>
              <w:t xml:space="preserve">年1月1日</w:t>
            </w:r>
            <w:r>
              <w:rPr>
                <w:rFonts w:hint="eastAsia" w:ascii="宋体" w:hAnsi="宋体" w:eastAsia="宋体" w:cs="宋体"/>
                <w:color w:val="000000"/>
                <w:sz w:val="24"/>
                <w:szCs w:val="24"/>
                <w:lang w:val="en-US" w:eastAsia="zh-CN"/>
              </w:rPr>
              <w:t xml:space="preserve">至今</w:t>
            </w:r>
            <w:r>
              <w:rPr>
                <w:rFonts w:hint="eastAsia" w:ascii="宋体" w:hAnsi="宋体" w:eastAsia="宋体" w:cs="宋体"/>
                <w:color w:val="000000"/>
                <w:sz w:val="24"/>
                <w:szCs w:val="24"/>
                <w:lang w:eastAsia="zh-CN"/>
              </w:rPr>
              <w:t xml:space="preserve">获得过</w:t>
            </w:r>
            <w:r>
              <w:rPr>
                <w:rFonts w:hint="eastAsia" w:ascii="宋体" w:hAnsi="宋体" w:eastAsia="宋体" w:cs="宋体"/>
                <w:color w:val="000000"/>
                <w:sz w:val="24"/>
                <w:szCs w:val="24"/>
                <w:lang w:val="en-US" w:eastAsia="zh-CN"/>
              </w:rPr>
              <w:t xml:space="preserve">县级</w:t>
            </w:r>
            <w:r>
              <w:rPr>
                <w:rFonts w:hint="eastAsia" w:ascii="宋体" w:hAnsi="宋体" w:eastAsia="宋体" w:cs="宋体"/>
                <w:color w:val="000000"/>
                <w:sz w:val="24"/>
                <w:szCs w:val="24"/>
                <w:lang w:eastAsia="zh-CN"/>
              </w:rPr>
              <w:t xml:space="preserve">行政主管部门颁发</w:t>
            </w:r>
            <w:r>
              <w:rPr>
                <w:rFonts w:hint="eastAsia" w:ascii="宋体" w:hAnsi="宋体" w:eastAsia="宋体" w:cs="宋体"/>
                <w:color w:val="000000"/>
                <w:sz w:val="24"/>
                <w:szCs w:val="24"/>
                <w:lang w:val="en-US" w:eastAsia="zh-CN"/>
              </w:rPr>
              <w:t xml:space="preserve">与本项目相关的</w:t>
            </w:r>
            <w:r>
              <w:rPr>
                <w:rFonts w:hint="eastAsia" w:ascii="宋体" w:hAnsi="宋体" w:eastAsia="宋体" w:cs="宋体"/>
                <w:color w:val="000000"/>
                <w:sz w:val="24"/>
                <w:szCs w:val="24"/>
                <w:lang w:eastAsia="zh-CN"/>
              </w:rPr>
              <w:t xml:space="preserve">企业荣誉或表彰的，每有1次得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lang w:eastAsia="zh-CN"/>
              </w:rPr>
              <w:t xml:space="preserve">分；获得过</w:t>
            </w:r>
            <w:r>
              <w:rPr>
                <w:rFonts w:hint="eastAsia" w:ascii="宋体" w:hAnsi="宋体" w:eastAsia="宋体" w:cs="宋体"/>
                <w:color w:val="000000"/>
                <w:sz w:val="24"/>
                <w:szCs w:val="24"/>
                <w:lang w:val="en-US" w:eastAsia="zh-CN"/>
              </w:rPr>
              <w:t xml:space="preserve">市级及以上</w:t>
            </w:r>
            <w:r>
              <w:rPr>
                <w:rFonts w:hint="eastAsia" w:ascii="宋体" w:hAnsi="宋体" w:eastAsia="宋体" w:cs="宋体"/>
                <w:color w:val="000000"/>
                <w:sz w:val="24"/>
                <w:szCs w:val="24"/>
                <w:lang w:eastAsia="zh-CN"/>
              </w:rPr>
              <w:t xml:space="preserve">行政主管部门颁发的企业荣誉或表彰的，每有1次得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lang w:val="en-US" w:eastAsia="zh-CN"/>
              </w:rPr>
              <w:t xml:space="preserve">本项</w:t>
            </w:r>
            <w:r>
              <w:rPr>
                <w:rFonts w:hint="eastAsia" w:ascii="宋体" w:hAnsi="宋体" w:eastAsia="宋体" w:cs="宋体"/>
                <w:color w:val="000000"/>
                <w:sz w:val="24"/>
                <w:szCs w:val="24"/>
                <w:lang w:eastAsia="zh-CN"/>
              </w:rPr>
              <w:t xml:space="preserve">满分</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分。(以获荣誉或表彰的颁发日期为准，提供相关荣誉或表彰证明资料原件</w:t>
            </w:r>
            <w:r>
              <w:rPr>
                <w:rFonts w:hint="eastAsia" w:ascii="宋体" w:hAnsi="宋体" w:eastAsia="宋体" w:cs="宋体"/>
                <w:color w:val="000000"/>
                <w:sz w:val="24"/>
                <w:szCs w:val="24"/>
                <w:lang w:val="en-US" w:eastAsia="zh-CN"/>
              </w:rPr>
              <w:t xml:space="preserve">彩色扫描件</w:t>
            </w:r>
            <w:r>
              <w:rPr>
                <w:rFonts w:hint="eastAsia" w:ascii="宋体" w:hAnsi="宋体" w:eastAsia="宋体" w:cs="宋体"/>
                <w:color w:val="000000"/>
                <w:sz w:val="24"/>
                <w:szCs w:val="24"/>
                <w:lang w:eastAsia="zh-CN"/>
              </w:rPr>
              <w:t xml:space="preserve">)</w:t>
            </w:r>
            <w:r/>
          </w:p>
        </w:tc>
        <w:tc>
          <w:tcPr>
            <w:shd w:val="clear" w:color="auto" w:fill="ffffff"/>
            <w:tcW w:w="702" w:type="dxa"/>
            <w:vAlign w:val="center"/>
            <w:textDirection w:val="lrTb"/>
            <w:noWrap w:val="false"/>
          </w:tcPr>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r>
    </w:tbl>
    <w:p>
      <w:pPr>
        <w:pStyle w:val="729"/>
        <w:jc w:val="center"/>
        <w:keepNext/>
        <w:spacing w:beforeAutospacing="0" w:afterAutospacing="0"/>
        <w:rPr>
          <w:rFonts w:hint="eastAsia" w:ascii="黑体" w:hAnsi="宋体" w:eastAsia="黑体" w:cs="黑体"/>
          <w:color w:val="000000"/>
          <w:sz w:val="44"/>
          <w:szCs w:val="44"/>
        </w:rPr>
      </w:pPr>
      <w:r/>
      <w:bookmarkStart w:id="175" w:name="_Hlt26671244"/>
      <w:r/>
      <w:bookmarkStart w:id="176" w:name="_Toc26554094"/>
      <w:r/>
      <w:bookmarkStart w:id="177" w:name="_Hlt26955039"/>
      <w:r/>
      <w:r/>
    </w:p>
    <w:p>
      <w:pPr>
        <w:pStyle w:val="729"/>
        <w:jc w:val="center"/>
        <w:keepNext/>
        <w:spacing w:beforeAutospacing="0" w:afterAutospacing="0"/>
      </w:pPr>
      <w:r>
        <w:rPr>
          <w:rFonts w:hint="eastAsia" w:ascii="黑体" w:hAnsi="宋体" w:eastAsia="黑体" w:cs="黑体"/>
          <w:color w:val="000000"/>
          <w:sz w:val="44"/>
          <w:szCs w:val="44"/>
        </w:rPr>
        <w:t xml:space="preserve">第六章  响应文件格式</w:t>
      </w:r>
      <w:r/>
    </w:p>
    <w:p>
      <w:pPr>
        <w:pStyle w:val="729"/>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9"/>
        <w:jc w:val="center"/>
        <w:spacing w:beforeAutospacing="0" w:afterAutospacing="0"/>
      </w:pPr>
      <w:r>
        <w:rPr>
          <w:rFonts w:hint="eastAsia" w:ascii="宋体" w:hAnsi="宋体" w:eastAsia="宋体" w:cs="宋体"/>
          <w:b/>
          <w:color w:val="000000"/>
          <w:sz w:val="72"/>
          <w:szCs w:val="72"/>
        </w:rPr>
        <w:t xml:space="preserve">响  应  文  件</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r/>
    </w:p>
    <w:p>
      <w:pPr>
        <w:pStyle w:val="729"/>
        <w:ind w:firstLine="1084"/>
        <w:jc w:val="both"/>
        <w:spacing w:beforeAutospacing="0" w:afterAutospacing="0"/>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729"/>
        <w:ind w:firstLine="1084"/>
        <w:jc w:val="both"/>
        <w:spacing w:beforeAutospacing="0" w:afterAutospacing="0"/>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729"/>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729"/>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29"/>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9"/>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9"/>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9"/>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729"/>
        <w:jc w:val="center"/>
        <w:spacing w:beforeAutospacing="0" w:afterAutospacing="0" w:line="0" w:lineRule="atLeast"/>
      </w:pPr>
      <w:r>
        <w:t xml:space="preserve"> </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一、法人或者其他组织的营业执照等证明文件，自然人的身份证明</w:t>
      </w:r>
      <w:r/>
    </w:p>
    <w:p>
      <w:pPr>
        <w:ind w:left="0" w:firstLine="480"/>
        <w:jc w:val="left"/>
        <w:keepLines w:val="0"/>
        <w:keepNext w:val="0"/>
        <w:pageBreakBefore w:val="0"/>
        <w:spacing w:line="500" w:lineRule="exac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w:t>
      </w:r>
      <w:r>
        <w:rPr>
          <w:rFonts w:hint="eastAsia" w:ascii="宋体" w:hAnsi="宋体" w:eastAsia="宋体" w:cs="宋体"/>
          <w:i/>
          <w:color w:val="000000"/>
          <w:sz w:val="24"/>
          <w:szCs w:val="24"/>
          <w:highlight w:val="none"/>
          <w:u w:val="single"/>
          <w:lang w:val="en-US" w:eastAsia="zh-CN" w:bidi="ar-SA"/>
        </w:rPr>
        <w:t xml:space="preserve">（至少提供资产负债表、利润表、现金流量表，</w:t>
      </w:r>
      <w:r/>
    </w:p>
    <w:p>
      <w:pPr>
        <w:pStyle w:val="729"/>
        <w:ind w:left="0"/>
        <w:jc w:val="both"/>
        <w:keepLines w:val="0"/>
        <w:keepNext w:val="0"/>
        <w:pageBreakBefore w:val="0"/>
        <w:spacing w:beforeAutospacing="0" w:afterAutospacing="0" w:line="500" w:lineRule="exact"/>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响应供应商成立不满一年无需提供）</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五、参加政府采购活动前 3 年内在经营活动中没有重大违法记录的书面声明</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八、磋商响应函</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九、小微企业声明函</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十、残疾人福利性单位声明函</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一</w:t>
      </w:r>
      <w:r>
        <w:rPr>
          <w:rFonts w:hint="eastAsia" w:ascii="宋体" w:hAnsi="宋体" w:eastAsia="宋体" w:cs="宋体"/>
          <w:i/>
          <w:color w:val="000000"/>
          <w:u w:val="single"/>
        </w:rPr>
        <w:t xml:space="preserve">、开标一览表</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二</w:t>
      </w:r>
      <w:r>
        <w:rPr>
          <w:rFonts w:hint="eastAsia" w:ascii="宋体" w:hAnsi="宋体" w:eastAsia="宋体" w:cs="宋体"/>
          <w:i/>
          <w:color w:val="000000"/>
          <w:u w:val="single"/>
        </w:rPr>
        <w:t xml:space="preserve">、分项报价表</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、资格性审查响应对照表</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、符合性检查响应对照表</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w:t>
      </w:r>
      <w:r>
        <w:rPr>
          <w:rFonts w:hint="eastAsia" w:ascii="宋体" w:hAnsi="宋体" w:eastAsia="宋体" w:cs="宋体"/>
          <w:i w:val="0"/>
          <w:iCs/>
          <w:color w:val="000000"/>
          <w:u w:val="none"/>
          <w:lang w:val="en-US" w:eastAsia="zh-CN"/>
        </w:rPr>
        <w:t xml:space="preserve">五</w:t>
      </w:r>
      <w:r>
        <w:rPr>
          <w:rFonts w:hint="eastAsia" w:ascii="宋体" w:hAnsi="宋体" w:eastAsia="宋体" w:cs="宋体"/>
          <w:i w:val="0"/>
          <w:iCs/>
          <w:color w:val="000000"/>
          <w:u w:val="none"/>
        </w:rPr>
        <w:t xml:space="preserve">、服务方案、业绩等</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六</w:t>
      </w:r>
      <w:r>
        <w:rPr>
          <w:rFonts w:hint="eastAsia" w:ascii="宋体" w:hAnsi="宋体" w:eastAsia="宋体" w:cs="宋体"/>
          <w:i/>
          <w:color w:val="000000"/>
          <w:u w:val="single"/>
        </w:rPr>
        <w:t xml:space="preserve">、盐城市政府采购事前信用承诺书</w:t>
      </w:r>
      <w:r/>
    </w:p>
    <w:p>
      <w:pPr>
        <w:pStyle w:val="729"/>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29"/>
        <w:ind w:firstLine="480"/>
        <w:jc w:val="both"/>
        <w:spacing w:beforeAutospacing="0" w:afterAutospacing="0" w:line="0" w:lineRule="atLeast"/>
      </w:pPr>
      <w:r>
        <w:t xml:space="preserve"> </w:t>
      </w:r>
      <w:r/>
    </w:p>
    <w:p>
      <w:pPr>
        <w:pStyle w:val="729"/>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w:t>
      </w:r>
      <w:r>
        <w:rPr>
          <w:rFonts w:hint="eastAsia" w:ascii="黑体" w:hAnsi="宋体" w:eastAsia="黑体" w:cs="黑体"/>
          <w:i/>
          <w:color w:val="000000"/>
          <w:sz w:val="32"/>
          <w:szCs w:val="32"/>
          <w:highlight w:val="none"/>
          <w:u w:val="single"/>
        </w:rPr>
        <w:t xml:space="preserve">况报表</w:t>
      </w:r>
      <w:r/>
    </w:p>
    <w:p>
      <w:pPr>
        <w:pStyle w:val="72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上一年度的财务状况报表（至少提供资产负债表、利润表、现金流量表，</w:t>
      </w:r>
      <w:r>
        <w:rPr>
          <w:rFonts w:hint="eastAsia" w:ascii="宋体" w:hAnsi="宋体" w:eastAsia="宋体" w:cs="宋体"/>
          <w:i/>
          <w:color w:val="000000"/>
          <w:u w:val="single"/>
          <w:lang w:val="en-US" w:eastAsia="zh-CN"/>
        </w:rPr>
        <w:t xml:space="preserve">响应</w:t>
      </w:r>
      <w:r>
        <w:rPr>
          <w:rFonts w:hint="eastAsia" w:ascii="宋体" w:hAnsi="宋体" w:eastAsia="宋体" w:cs="宋体"/>
          <w:i/>
          <w:color w:val="000000"/>
          <w:u w:val="single"/>
        </w:rPr>
        <w:t xml:space="preserve">供应商成立不满一年无需提供）</w:t>
      </w:r>
      <w:r/>
    </w:p>
    <w:p>
      <w:pPr>
        <w:pStyle w:val="729"/>
        <w:jc w:val="both"/>
        <w:spacing w:beforeAutospacing="0" w:afterAutospacing="0"/>
      </w:pPr>
      <w:r>
        <w:t xml:space="preserve"> </w:t>
      </w:r>
      <w:r/>
    </w:p>
    <w:p>
      <w:pPr>
        <w:pStyle w:val="729"/>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729"/>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29"/>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29"/>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29"/>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r>
      <w:r/>
    </w:p>
    <w:p>
      <w:pPr>
        <w:pStyle w:val="729"/>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729"/>
        <w:ind w:firstLine="480"/>
        <w:jc w:val="both"/>
        <w:spacing w:beforeAutospacing="0" w:afterAutospacing="0"/>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729"/>
        <w:jc w:val="both"/>
        <w:spacing w:beforeAutospacing="0" w:afterAutospacing="0" w:line="0" w:lineRule="atLeast"/>
      </w:pPr>
      <w:r>
        <w:rPr>
          <w:rFonts w:hint="eastAsia" w:ascii="宋体" w:hAnsi="宋体" w:eastAsia="宋体" w:cs="宋体"/>
          <w:color w:val="000000"/>
        </w:rPr>
        <w:t xml:space="preserve">               </w:t>
      </w:r>
      <w:r/>
    </w:p>
    <w:p>
      <w:pPr>
        <w:pStyle w:val="729"/>
        <w:jc w:val="both"/>
        <w:spacing w:beforeAutospacing="0" w:afterAutospacing="0"/>
      </w:pPr>
      <w:r>
        <w:t xml:space="preserve"> </w:t>
      </w:r>
      <w:r/>
    </w:p>
    <w:p>
      <w:pPr>
        <w:pStyle w:val="729"/>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29"/>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729"/>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29"/>
        <w:jc w:val="both"/>
        <w:spacing w:beforeAutospacing="0" w:afterAutospacing="0"/>
      </w:pPr>
      <w:r>
        <w:t xml:space="preserve"> </w:t>
      </w:r>
      <w:r/>
    </w:p>
    <w:p>
      <w:pPr>
        <w:pStyle w:val="729"/>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29"/>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729"/>
        <w:jc w:val="center"/>
        <w:spacing w:beforeAutospacing="0" w:afterAutospacing="0"/>
        <w:rPr>
          <w:rFonts w:hint="eastAsia" w:ascii="黑体" w:hAnsi="宋体" w:eastAsia="黑体" w:cs="黑体"/>
          <w:i/>
          <w:color w:val="000000"/>
          <w:sz w:val="32"/>
          <w:szCs w:val="32"/>
          <w:u w:val="single"/>
        </w:rPr>
      </w:pPr>
      <w:r/>
      <w:bookmarkStart w:id="178" w:name="_Toc120614284"/>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729"/>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29"/>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本授权书于______年____月____日起生效，特此声明。</w:t>
      </w:r>
      <w:r/>
    </w:p>
    <w:p>
      <w:pPr>
        <w:pStyle w:val="729"/>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29"/>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29"/>
        <w:ind w:firstLine="72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29"/>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rPr>
        <w:t xml:space="preserve">      日期：</w:t>
      </w:r>
      <w:bookmarkStart w:id="179" w:name="_格式3__银行出具的资信证明"/>
      <w:r/>
      <w:bookmarkStart w:id="180" w:name="_Hlt26955070"/>
      <w:r/>
      <w:bookmarkStart w:id="181" w:name="_Hlt26671380"/>
      <w:r>
        <w:rPr>
          <w:rFonts w:ascii="Times New Roman" w:hAnsi="Times New Roman"/>
          <w:color w:val="000000"/>
          <w:u w:val="single"/>
        </w:rPr>
        <w:t xml:space="preserve">                                         </w:t>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729"/>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13" o:title=""/>
              </v:shape>
            </w:pict>
          </mc:Fallback>
        </mc:AlternateContent>
      </w:r>
      <w:r/>
    </w:p>
    <w:p>
      <w:pPr>
        <w:pStyle w:val="729"/>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29"/>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29"/>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729"/>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729"/>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729"/>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729"/>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13" o:title=""/>
              </v:shape>
            </w:pict>
          </mc:Fallback>
        </mc:AlternateContent>
      </w:r>
      <w:r/>
    </w:p>
    <w:p>
      <w:pPr>
        <w:pStyle w:val="729"/>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29"/>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hint="eastAsia" w:ascii="宋体" w:hAnsi="宋体" w:eastAsia="宋体" w:cs="宋体"/>
          <w:b/>
          <w:color w:val="000000"/>
        </w:rPr>
        <w:br w:type="page" w:clear="all"/>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八、磋商响应函</w:t>
      </w:r>
      <w:r/>
    </w:p>
    <w:p>
      <w:pPr>
        <w:pStyle w:val="729"/>
        <w:ind w:left="0"/>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射阳县行政服务中心</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号磋商文件，正式授权下述签字人______(姓名)代表我方______________（供应商的名称），全权处理本次项目磋商的有关事宜。</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据此函，__________签字人兹宣布同意如下：</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1.按磋商文件规定的各项要求，向买方提供所需货物、服务（包含与货物相关的服务及与服务相关的货物）。</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2.我们完全理解贵方不一定将合同授予最低报价的供应商。</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3.我们已详细审核全部磋商文件及其有效补充文件，我们知道必须放弃提出含糊不清或误解问题的权利。</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4.我们同意从规定的开标日期起遵循本响应文件，并在规定的磋商有效期期满之前均具有约束力。</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5.同意向贵方提供贵方可能另外要求的与磋商有关的任何证据或资料，并保证我方已提供和将要提供的文件是真实的、准确的。</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6.一旦我方成交,我方将根据磋商文件的规定，严格履行合同的责任和义务,并保证在磋商文件规定的时间完成项目，交付买方验收、使用。</w:t>
      </w:r>
      <w:r/>
    </w:p>
    <w:p>
      <w:pPr>
        <w:pStyle w:val="729"/>
        <w:ind w:left="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7.我方与本磋商有关的正式通讯地址为：</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地          址：</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邮          编：</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电          话：</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传          真：</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供应商开户行：</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账          号： </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日           期：________年____月____日</w:t>
      </w:r>
      <w:r/>
    </w:p>
    <w:p>
      <w:pPr>
        <w:pStyle w:val="729"/>
        <w:ind w:firstLine="240"/>
        <w:jc w:val="center"/>
        <w:spacing w:beforeAutospacing="0" w:afterAutospacing="0" w:line="0" w:lineRule="atLeast"/>
      </w:pPr>
      <w:r>
        <w:t xml:space="preserve"> </w:t>
      </w:r>
      <w:r/>
    </w:p>
    <w:p>
      <w:pPr>
        <w:pStyle w:val="729"/>
        <w:ind w:firstLine="240"/>
        <w:jc w:val="center"/>
        <w:spacing w:beforeAutospacing="0" w:afterAutospacing="0" w:line="0" w:lineRule="atLeast"/>
      </w:pPr>
      <w:r/>
      <w:r/>
    </w:p>
    <w:p>
      <w:pPr>
        <w:pStyle w:val="729"/>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729"/>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729"/>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729"/>
        <w:jc w:val="center"/>
        <w:spacing w:beforeAutospacing="0" w:afterAutospacing="0" w:line="0" w:lineRule="atLeast"/>
      </w:pPr>
      <w:r>
        <w:rPr>
          <w:rFonts w:hint="eastAsia" w:ascii="黑体" w:hAnsi="宋体" w:eastAsia="黑体" w:cs="黑体"/>
          <w:b/>
          <w:color w:val="000000"/>
          <w:sz w:val="32"/>
          <w:szCs w:val="32"/>
        </w:rPr>
        <w:t xml:space="preserve">九、</w:t>
      </w:r>
      <w:r>
        <w:rPr>
          <w:rFonts w:hint="eastAsia" w:ascii="黑体" w:hAnsi="宋体" w:eastAsia="黑体" w:cs="黑体"/>
          <w:b/>
          <w:color w:val="000000"/>
          <w:sz w:val="32"/>
          <w:szCs w:val="32"/>
          <w:lang w:val="en-US" w:eastAsia="zh-CN"/>
        </w:rPr>
        <w:t xml:space="preserve">小微</w:t>
      </w:r>
      <w:r>
        <w:rPr>
          <w:rFonts w:hint="eastAsia" w:ascii="黑体" w:hAnsi="宋体" w:eastAsia="黑体" w:cs="黑体"/>
          <w:b/>
          <w:color w:val="000000"/>
          <w:sz w:val="32"/>
          <w:szCs w:val="32"/>
        </w:rPr>
        <w:t xml:space="preserve">企业声明函（服务）</w:t>
      </w:r>
      <w:r/>
    </w:p>
    <w:p>
      <w:pPr>
        <w:pStyle w:val="729"/>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lang w:val="en-US" w:eastAsia="zh-Hans"/>
        </w:rPr>
        <w:t xml:space="preserve">射阳县行政服务中心</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小微企业、签订分包意向协议的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小微企业）的具体情况如下：</w:t>
      </w:r>
      <w:r/>
    </w:p>
    <w:p>
      <w:pPr>
        <w:pStyle w:val="729"/>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729"/>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w:t>
      </w:r>
      <w:r>
        <w:rPr>
          <w:rFonts w:hint="eastAsia" w:ascii="宋体" w:hAnsi="宋体" w:eastAsia="宋体" w:cs="宋体"/>
          <w:color w:val="000000"/>
          <w:u w:val="single"/>
        </w:rPr>
        <w:t xml:space="preserve">小型企业、微型企业）；</w:t>
      </w:r>
      <w:r/>
    </w:p>
    <w:p>
      <w:pPr>
        <w:pStyle w:val="729"/>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w:t>
      </w:r>
      <w:r/>
    </w:p>
    <w:p>
      <w:pPr>
        <w:pStyle w:val="729"/>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29"/>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本企业对上述声明内容的真实性负责。如有虚假，将依法承担相应责任</w:t>
      </w:r>
      <w:r/>
    </w:p>
    <w:p>
      <w:pPr>
        <w:pStyle w:val="729"/>
        <w:ind w:right="720"/>
        <w:jc w:val="both"/>
        <w:keepLines w:val="0"/>
        <w:keepNext w:val="0"/>
        <w:pageBreakBefore w:val="0"/>
        <w:spacing w:beforeAutospacing="0" w:afterAutospacing="0" w:line="360" w:lineRule="auto"/>
        <w:widowControl w:val="off"/>
      </w:pPr>
      <w:r>
        <w:t xml:space="preserve"> </w:t>
      </w:r>
      <w:r/>
    </w:p>
    <w:p>
      <w:pPr>
        <w:pStyle w:val="729"/>
        <w:ind w:right="180" w:firstLine="360"/>
        <w:jc w:val="right"/>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企业名称（加盖CA电子公章）：</w:t>
      </w:r>
      <w:r/>
    </w:p>
    <w:p>
      <w:pPr>
        <w:pStyle w:val="729"/>
        <w:ind w:right="480" w:firstLine="540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日  期：</w:t>
      </w:r>
      <w:r/>
    </w:p>
    <w:p>
      <w:pPr>
        <w:pStyle w:val="729"/>
        <w:ind w:firstLine="240"/>
        <w:jc w:val="both"/>
        <w:keepLines w:val="0"/>
        <w:keepNext w:val="0"/>
        <w:pageBreakBefore w:val="0"/>
        <w:spacing w:beforeAutospacing="0" w:afterAutospacing="0" w:line="360" w:lineRule="auto"/>
        <w:widowControl w:val="off"/>
      </w:pPr>
      <w:r>
        <w:t xml:space="preserve"> </w:t>
      </w:r>
      <w:r/>
    </w:p>
    <w:p>
      <w:pPr>
        <w:pStyle w:val="729"/>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729"/>
        <w:ind w:firstLine="480"/>
        <w:jc w:val="both"/>
        <w:keepLines w:val="0"/>
        <w:keepNext w:val="0"/>
        <w:pageBreakBefore w:val="0"/>
        <w:spacing w:beforeAutospacing="0" w:afterAutospacing="0" w:line="360" w:lineRule="auto"/>
        <w:widowControl w:val="off"/>
        <w:rPr>
          <w:rFonts w:hint="eastAsia" w:eastAsia="宋体"/>
          <w:lang w:eastAsia="zh-CN"/>
        </w:rPr>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729"/>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9"/>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9"/>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9"/>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9"/>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9"/>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9"/>
        <w:jc w:val="center"/>
        <w:spacing w:beforeAutospacing="0" w:afterAutospacing="0" w:line="0" w:lineRule="atLeast"/>
      </w:pPr>
      <w:r>
        <w:rPr>
          <w:rFonts w:hint="eastAsia" w:ascii="黑体" w:hAnsi="宋体" w:eastAsia="黑体" w:cs="黑体"/>
          <w:b/>
          <w:color w:val="000000"/>
          <w:sz w:val="32"/>
          <w:szCs w:val="32"/>
        </w:rPr>
        <w:t xml:space="preserve"> 十、残疾人福利性单位声明函（分包号：**）</w:t>
      </w:r>
      <w:r/>
    </w:p>
    <w:p>
      <w:pPr>
        <w:pStyle w:val="729"/>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29"/>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本单位对上述声明的真实性负责。如有虚假，将依法承担相应责任。</w:t>
      </w:r>
      <w:r/>
    </w:p>
    <w:p>
      <w:pPr>
        <w:pStyle w:val="729"/>
        <w:ind w:firstLine="480"/>
        <w:jc w:val="both"/>
        <w:keepLines w:val="0"/>
        <w:keepNext w:val="0"/>
        <w:pageBreakBefore w:val="0"/>
        <w:spacing w:beforeAutospacing="0" w:afterAutospacing="0" w:line="360" w:lineRule="auto"/>
        <w:widowControl w:val="off"/>
      </w:pPr>
      <w:r>
        <w:t xml:space="preserve"> </w:t>
      </w:r>
      <w:r/>
    </w:p>
    <w:p>
      <w:pPr>
        <w:pStyle w:val="729"/>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729"/>
        <w:ind w:firstLine="624"/>
        <w:jc w:val="both"/>
        <w:keepLines w:val="0"/>
        <w:keepNext w:val="0"/>
        <w:pageBreakBefore w:val="0"/>
        <w:spacing w:beforeAutospacing="0" w:afterAutospacing="0" w:line="360" w:lineRule="auto"/>
        <w:widowControl w:val="off"/>
      </w:pPr>
      <w:r>
        <w:t xml:space="preserve"> </w:t>
      </w:r>
      <w:r/>
    </w:p>
    <w:p>
      <w:pPr>
        <w:pStyle w:val="729"/>
        <w:ind w:right="1560" w:firstLine="624"/>
        <w:jc w:val="center"/>
        <w:keepLines w:val="0"/>
        <w:keepNext w:val="0"/>
        <w:pageBreakBefore w:val="0"/>
        <w:spacing w:beforeAutospacing="0" w:afterAutospacing="0" w:line="360" w:lineRule="auto"/>
        <w:widowControl w:val="off"/>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29"/>
        <w:ind w:right="1560" w:firstLine="480"/>
        <w:jc w:val="center"/>
        <w:keepLines w:val="0"/>
        <w:keepNext w:val="0"/>
        <w:pageBreakBefore w:val="0"/>
        <w:spacing w:beforeAutospacing="0" w:afterAutospacing="0" w:line="360" w:lineRule="auto"/>
        <w:widowControl w:val="off"/>
        <w:tabs>
          <w:tab w:val="left" w:pos="4864" w:leader="none"/>
        </w:tabs>
      </w:pPr>
      <w:r>
        <w:rPr>
          <w:rFonts w:hint="eastAsia" w:ascii="宋体" w:hAnsi="宋体" w:eastAsia="宋体" w:cs="宋体"/>
          <w:color w:val="000000"/>
        </w:rPr>
        <w:t xml:space="preserve">        日  期：</w:t>
      </w:r>
      <w:r/>
    </w:p>
    <w:p>
      <w:pPr>
        <w:pStyle w:val="729"/>
        <w:jc w:val="center"/>
        <w:keepLines w:val="0"/>
        <w:keepNext w:val="0"/>
        <w:pageBreakBefore w:val="0"/>
        <w:spacing w:beforeAutospacing="0" w:afterAutospacing="0" w:line="360" w:lineRule="auto"/>
        <w:widowControl w:val="off"/>
      </w:pPr>
      <w:r>
        <w:t xml:space="preserve"> </w:t>
      </w:r>
      <w:r/>
    </w:p>
    <w:p>
      <w:pPr>
        <w:pStyle w:val="729"/>
        <w:jc w:val="center"/>
        <w:keepLines w:val="0"/>
        <w:keepNext w:val="0"/>
        <w:pageBreakBefore w:val="0"/>
        <w:spacing w:beforeAutospacing="0" w:afterAutospacing="0" w:line="360" w:lineRule="auto"/>
        <w:widowControl w:val="off"/>
      </w:pPr>
      <w:r>
        <w:t xml:space="preserve"> </w:t>
      </w:r>
      <w:r/>
    </w:p>
    <w:p>
      <w:pPr>
        <w:pStyle w:val="729"/>
        <w:jc w:val="center"/>
        <w:keepLines w:val="0"/>
        <w:keepNext w:val="0"/>
        <w:pageBreakBefore w:val="0"/>
        <w:spacing w:beforeAutospacing="0" w:afterAutospacing="0" w:line="360" w:lineRule="auto"/>
        <w:widowControl w:val="off"/>
      </w:pPr>
      <w:r>
        <w:t xml:space="preserve"> </w:t>
      </w:r>
      <w:r/>
    </w:p>
    <w:p>
      <w:pPr>
        <w:pStyle w:val="729"/>
        <w:jc w:val="center"/>
        <w:keepLines w:val="0"/>
        <w:keepNext w:val="0"/>
        <w:pageBreakBefore w:val="0"/>
        <w:spacing w:beforeAutospacing="0" w:afterAutospacing="0" w:line="360" w:lineRule="auto"/>
        <w:widowControl w:val="off"/>
      </w:pPr>
      <w:r>
        <w:t xml:space="preserve"> </w:t>
      </w:r>
      <w:r/>
    </w:p>
    <w:p>
      <w:pPr>
        <w:pStyle w:val="729"/>
        <w:jc w:val="center"/>
        <w:keepLines w:val="0"/>
        <w:keepNext w:val="0"/>
        <w:pageBreakBefore w:val="0"/>
        <w:spacing w:beforeAutospacing="0" w:afterAutospacing="0" w:line="360" w:lineRule="auto"/>
        <w:widowControl w:val="off"/>
      </w:pPr>
      <w:r>
        <w:t xml:space="preserve"> </w:t>
      </w:r>
      <w:r/>
    </w:p>
    <w:p>
      <w:pPr>
        <w:pStyle w:val="729"/>
        <w:jc w:val="center"/>
        <w:keepLines w:val="0"/>
        <w:keepNext w:val="0"/>
        <w:pageBreakBefore w:val="0"/>
        <w:spacing w:beforeAutospacing="0" w:afterAutospacing="0" w:line="360" w:lineRule="auto"/>
        <w:widowControl w:val="off"/>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both"/>
        <w:spacing w:beforeAutospacing="0" w:afterAutospacing="0" w:line="0" w:lineRule="atLeast"/>
      </w:p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一</w:t>
      </w:r>
      <w:r>
        <w:rPr>
          <w:rFonts w:hint="eastAsia" w:ascii="黑体" w:hAnsi="宋体" w:eastAsia="黑体" w:cs="黑体"/>
          <w:i w:val="0"/>
          <w:iCs/>
          <w:color w:val="000000"/>
          <w:sz w:val="32"/>
          <w:szCs w:val="32"/>
          <w:u w:val="none"/>
        </w:rPr>
        <w:t xml:space="preserve">、开标一览表</w:t>
      </w:r>
      <w:r/>
    </w:p>
    <w:p>
      <w:pPr>
        <w:pStyle w:val="729"/>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29"/>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射阳县人民法院安保服务项目</w:t>
      </w:r>
      <w:r/>
    </w:p>
    <w:p>
      <w:pPr>
        <w:pStyle w:val="729"/>
        <w:ind w:firstLine="480"/>
        <w:jc w:val="both"/>
        <w:spacing w:beforeAutospacing="0" w:afterAutospacing="0"/>
        <w:rPr>
          <w:rFonts w:hint="eastAsia" w:ascii="宋体" w:hAnsi="宋体" w:eastAsia="宋体" w:cs="宋体"/>
          <w:color w:val="auto"/>
          <w:highlight w:val="yellow"/>
          <w:lang w:eastAsia="zh-CN"/>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29"/>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val="en-US" w:eastAsia="zh-CN"/>
        </w:rPr>
        <w:t xml:space="preserve">/</w:t>
      </w:r>
      <w:r/>
    </w:p>
    <w:tbl>
      <w:tblPr>
        <w:tblStyle w:val="702"/>
        <w:tblW w:w="8705"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705"/>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/年</w:t>
            </w:r>
            <w:r/>
          </w:p>
        </w:tc>
      </w:tr>
      <w:tr>
        <w:trPr>
          <w:tblCellSpacing w:w="0" w:type="dxa"/>
          <w:trHeight w:val="77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/年</w:t>
            </w:r>
            <w:r/>
          </w:p>
        </w:tc>
      </w:tr>
    </w:tbl>
    <w:p>
      <w:pPr>
        <w:pStyle w:val="729"/>
        <w:jc w:val="both"/>
        <w:spacing w:beforeAutospacing="0" w:afterAutospacing="0"/>
        <w:rPr>
          <w:color w:val="auto"/>
          <w:highlight w:val="none"/>
        </w:rPr>
      </w:pPr>
      <w:r>
        <w:rPr>
          <w:color w:val="auto"/>
          <w:highlight w:val="none"/>
        </w:rPr>
        <w:t xml:space="preserve"> </w:t>
      </w:r>
      <w:r/>
    </w:p>
    <w:p>
      <w:pPr>
        <w:pStyle w:val="729"/>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ind w:firstLine="480"/>
        <w:jc w:val="center"/>
        <w:spacing w:beforeAutospacing="0" w:afterAutospacing="0"/>
        <w:rPr>
          <w:rFonts w:hint="eastAsia" w:ascii="宋体" w:hAnsi="宋体" w:eastAsia="黑体" w:cs="宋体"/>
          <w:color w:val="auto"/>
          <w:highlight w:val="none"/>
          <w:lang w:eastAsia="zh-CN"/>
        </w:rPr>
      </w:pPr>
      <w:r>
        <w:rPr>
          <w:rFonts w:hint="eastAsia" w:ascii="黑体" w:hAnsi="宋体" w:eastAsia="黑体" w:cs="黑体"/>
          <w:i w:val="0"/>
          <w:iCs/>
          <w:color w:val="000000"/>
          <w:sz w:val="32"/>
          <w:szCs w:val="32"/>
          <w:u w:val="none"/>
        </w:rPr>
        <w:t xml:space="preserve">开标一览表</w:t>
      </w:r>
      <w:r>
        <w:rPr>
          <w:rFonts w:hint="eastAsia" w:ascii="黑体" w:hAnsi="宋体" w:eastAsia="黑体" w:cs="黑体"/>
          <w:i w:val="0"/>
          <w:iCs/>
          <w:color w:val="000000"/>
          <w:sz w:val="32"/>
          <w:szCs w:val="32"/>
          <w:u w:val="none"/>
          <w:lang w:eastAsia="zh-CN"/>
        </w:rPr>
        <w:t xml:space="preserve">（</w:t>
      </w:r>
      <w:r>
        <w:rPr>
          <w:rFonts w:hint="eastAsia" w:ascii="黑体" w:hAnsi="宋体" w:eastAsia="黑体" w:cs="黑体"/>
          <w:i w:val="0"/>
          <w:iCs/>
          <w:color w:val="000000"/>
          <w:sz w:val="32"/>
          <w:szCs w:val="32"/>
          <w:u w:val="none"/>
          <w:lang w:val="en-US" w:eastAsia="zh-CN"/>
        </w:rPr>
        <w:t xml:space="preserve">二轮报价</w:t>
      </w:r>
      <w:r>
        <w:rPr>
          <w:rFonts w:hint="eastAsia" w:ascii="黑体" w:hAnsi="宋体" w:eastAsia="黑体" w:cs="黑体"/>
          <w:i w:val="0"/>
          <w:iCs/>
          <w:color w:val="000000"/>
          <w:sz w:val="32"/>
          <w:szCs w:val="32"/>
          <w:u w:val="none"/>
          <w:lang w:eastAsia="zh-CN"/>
        </w:rPr>
        <w:t xml:space="preserve">）</w:t>
      </w:r>
      <w:r/>
    </w:p>
    <w:p>
      <w:pPr>
        <w:pStyle w:val="729"/>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29"/>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射阳县人民法院安保服务项目</w:t>
      </w:r>
      <w:r/>
    </w:p>
    <w:p>
      <w:pPr>
        <w:pStyle w:val="729"/>
        <w:ind w:firstLine="480"/>
        <w:jc w:val="both"/>
        <w:spacing w:beforeAutospacing="0" w:afterAutospacing="0"/>
        <w:rPr>
          <w:rFonts w:hint="eastAsia" w:ascii="宋体" w:hAnsi="宋体" w:eastAsia="宋体" w:cs="宋体"/>
          <w:color w:val="auto"/>
          <w:highlight w:val="yellow"/>
          <w:lang w:eastAsia="zh-CN"/>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29"/>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val="en-US" w:eastAsia="zh-CN"/>
        </w:rPr>
        <w:t xml:space="preserve">/</w:t>
      </w:r>
      <w:r/>
    </w:p>
    <w:tbl>
      <w:tblPr>
        <w:tblStyle w:val="702"/>
        <w:tblW w:w="8705"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705"/>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/年</w:t>
            </w:r>
            <w:r/>
          </w:p>
        </w:tc>
      </w:tr>
      <w:tr>
        <w:trPr>
          <w:tblCellSpacing w:w="0" w:type="dxa"/>
          <w:trHeight w:val="77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/年</w:t>
            </w:r>
            <w:r/>
          </w:p>
        </w:tc>
      </w:tr>
    </w:tbl>
    <w:p>
      <w:pPr>
        <w:pStyle w:val="729"/>
        <w:jc w:val="both"/>
        <w:spacing w:beforeAutospacing="0" w:afterAutospacing="0"/>
        <w:rPr>
          <w:color w:val="auto"/>
          <w:highlight w:val="none"/>
        </w:rPr>
      </w:pPr>
      <w:r>
        <w:rPr>
          <w:color w:val="auto"/>
          <w:highlight w:val="none"/>
        </w:rPr>
        <w:t xml:space="preserve"> </w:t>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jc w:val="center"/>
        <w:spacing w:beforeAutospacing="0" w:afterAutospacing="0"/>
        <w:rPr>
          <w:rFonts w:hint="eastAsia" w:ascii="黑体" w:hAnsi="宋体" w:eastAsia="黑体" w:cs="黑体"/>
          <w:i w:val="0"/>
          <w:iCs/>
          <w:color w:val="000000"/>
          <w:sz w:val="32"/>
          <w:szCs w:val="32"/>
          <w:u w:val="none"/>
          <w:lang w:eastAsia="zh-CN"/>
        </w:rPr>
      </w:pPr>
      <w:r>
        <w:rPr>
          <w:rFonts w:hint="eastAsia" w:ascii="黑体" w:hAnsi="宋体" w:eastAsia="黑体" w:cs="黑体"/>
          <w:i w:val="0"/>
          <w:iCs/>
          <w:color w:val="000000"/>
          <w:sz w:val="32"/>
          <w:szCs w:val="32"/>
          <w:u w:val="none"/>
          <w:lang w:val="en-US" w:eastAsia="zh-CN"/>
        </w:rPr>
        <w:t xml:space="preserve">十二、</w:t>
      </w:r>
      <w:r>
        <w:rPr>
          <w:rFonts w:hint="eastAsia" w:ascii="黑体" w:hAnsi="宋体" w:eastAsia="黑体" w:cs="黑体"/>
          <w:i w:val="0"/>
          <w:iCs/>
          <w:color w:val="000000"/>
          <w:sz w:val="32"/>
          <w:szCs w:val="32"/>
          <w:u w:val="none"/>
        </w:rPr>
        <w:t xml:space="preserve">分项报价表</w:t>
      </w:r>
      <w:r/>
    </w:p>
    <w:p>
      <w:pPr>
        <w:pStyle w:val="892"/>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892"/>
        <w:spacing w:line="360" w:lineRule="auto"/>
        <w:rPr>
          <w:rFonts w:hint="eastAsia" w:hAnsi="宋体" w:eastAsia="宋体"/>
          <w:color w:val="auto"/>
          <w:sz w:val="21"/>
          <w:highlight w:val="none"/>
          <w:lang w:eastAsia="zh-CN"/>
        </w:rPr>
      </w:pPr>
      <w:r>
        <w:rPr>
          <w:rFonts w:hint="eastAsia" w:hAnsi="宋体" w:eastAsia="宋体"/>
          <w:color w:val="auto"/>
          <w:sz w:val="21"/>
          <w:highlight w:val="none"/>
          <w:lang w:val="en-US" w:eastAsia="zh-CN"/>
        </w:rPr>
        <w:t xml:space="preserve">项目</w:t>
      </w:r>
      <w:r>
        <w:rPr>
          <w:rFonts w:hint="eastAsia" w:hAnsi="宋体" w:eastAsia="宋体"/>
          <w:color w:val="auto"/>
          <w:sz w:val="21"/>
          <w:highlight w:val="none"/>
        </w:rPr>
        <w:t xml:space="preserve">编号：</w:t>
      </w:r>
      <w:r/>
    </w:p>
    <w:p>
      <w:pPr>
        <w:pStyle w:val="892"/>
        <w:spacing w:line="360" w:lineRule="auto"/>
        <w:rPr>
          <w:rFonts w:hint="default" w:eastAsia="宋体"/>
          <w:color w:val="auto"/>
          <w:highlight w:val="none"/>
          <w:lang w:val="en-US" w:eastAsia="zh-CN"/>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rPr>
          <w:rFonts w:hint="eastAsia" w:hAnsi="宋体" w:eastAsia="宋体"/>
          <w:color w:val="auto"/>
          <w:sz w:val="21"/>
          <w:highlight w:val="none"/>
          <w:lang w:val="en-US" w:eastAsia="zh-CN"/>
        </w:rPr>
        <w:t xml:space="preserve">                                                 单位：元</w:t>
      </w:r>
      <w:r/>
    </w:p>
    <w:tbl>
      <w:tblPr>
        <w:tblStyle w:val="702"/>
        <w:tblW w:w="88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9"/>
        <w:gridCol w:w="1272"/>
        <w:gridCol w:w="744"/>
        <w:gridCol w:w="753"/>
        <w:gridCol w:w="1143"/>
        <w:gridCol w:w="1172"/>
        <w:gridCol w:w="3100"/>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单价</w:t>
            </w:r>
            <w:r/>
          </w:p>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（以年为单位）</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备注（要求必须完全响应，否则作无效标书处理）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人员工资、社保等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jc w:val="center"/>
          <w:trHeight w:val="889"/>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工资</w:t>
            </w:r>
            <w:r/>
          </w:p>
        </w:tc>
        <w:tc>
          <w:tcPr>
            <w:shd w:val="clear" w:color="auto" w:fill="auto"/>
            <w:tcBorders>
              <w:top w:val="single" w:color="000000" w:sz="4" w:space="0"/>
              <w:left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default" w:ascii="仿宋" w:hAnsi="仿宋" w:cs="仿宋"/>
                <w:b w:val="0"/>
                <w:bCs/>
                <w:sz w:val="21"/>
                <w:szCs w:val="21"/>
                <w:lang w:val="en-US" w:eastAsia="zh-CN"/>
              </w:rPr>
              <w:suppressLineNumbers w:val="0"/>
            </w:pPr>
            <w:r>
              <w:rPr>
                <w:rFonts w:hint="default" w:ascii="仿宋" w:hAnsi="仿宋" w:cs="仿宋"/>
                <w:b w:val="0"/>
                <w:bCs/>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仿宋" w:hAnsi="仿宋" w:cs="仿宋"/>
                <w:b w:val="0"/>
                <w:bCs/>
                <w:sz w:val="21"/>
                <w:szCs w:val="21"/>
                <w:lang w:val="en-US" w:eastAsia="zh-CN"/>
              </w:rPr>
              <w:suppressLineNumbers w:val="0"/>
            </w:pPr>
            <w:r>
              <w:rPr>
                <w:rFonts w:hint="eastAsia" w:ascii="仿宋" w:hAnsi="仿宋" w:cs="仿宋"/>
                <w:b w:val="0"/>
                <w:bCs/>
                <w:sz w:val="21"/>
                <w:szCs w:val="21"/>
                <w:lang w:val="en-US" w:eastAsia="zh-CN"/>
              </w:rPr>
              <w:t xml:space="preserve">不低于本地最低工资标准2180元/人/月（含个人缴社保、个人住房公积金）</w:t>
            </w:r>
            <w:r/>
          </w:p>
        </w:tc>
      </w:tr>
      <w:tr>
        <w:trPr>
          <w:jc w:val="center"/>
          <w:trHeight w:val="258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Style w:val="899"/>
                <w:rFonts w:hint="eastAsia" w:ascii="宋体" w:eastAsia="宋体"/>
                <w:sz w:val="21"/>
                <w:lang w:val="en-US" w:eastAsia="zh-CN" w:bidi="ar"/>
              </w:rPr>
              <w:suppressLineNumbers w:val="0"/>
            </w:pPr>
            <w:r>
              <w:rPr>
                <w:rFonts w:hint="eastAsia" w:ascii="宋体" w:eastAsia="宋体"/>
                <w:sz w:val="21"/>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Style w:val="899"/>
                <w:rFonts w:hint="eastAsia" w:ascii="宋体" w:eastAsia="宋体"/>
                <w:sz w:val="21"/>
                <w:lang w:val="en-US" w:eastAsia="zh-CN" w:bidi="ar"/>
              </w:rPr>
              <w:suppressLineNumbers w:val="0"/>
            </w:pPr>
            <w:r>
              <w:rPr>
                <w:rStyle w:val="899"/>
                <w:rFonts w:hint="eastAsia" w:ascii="宋体" w:eastAsia="宋体"/>
                <w:sz w:val="21"/>
                <w:lang w:val="en-US" w:eastAsia="zh-CN" w:bidi="ar"/>
              </w:rPr>
              <w:t xml:space="preserve">所有人员必须足额缴纳社保费用，社保（企业部分）不得低于规定险种（规定险种为“五险”，指养老保险金16%、医疗保险金8%、工伤保险金0.4%、生育保险金0.9%、失业保险金0.5%），即不得低于1292.47元/人/月。否则将视为未实质性响应招标文件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rPr>
              <w:suppressLineNumbers w:val="0"/>
            </w:pPr>
            <w:r>
              <w:rPr>
                <w:rFonts w:hint="default" w:ascii="宋体" w:hAnsi="Arial" w:eastAsia="宋体" w:cs="Arial"/>
                <w:i w:val="0"/>
                <w:iCs w:val="0"/>
                <w:color w:val="000000"/>
                <w:sz w:val="21"/>
                <w:szCs w:val="21"/>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rPr>
              <w:suppressLineNumbers w:val="0"/>
            </w:pPr>
            <w:r>
              <w:rPr>
                <w:rStyle w:val="899"/>
                <w:rFonts w:ascii="宋体" w:eastAsia="宋体"/>
                <w:sz w:val="21"/>
                <w:lang w:val="en-US" w:eastAsia="zh-CN" w:bidi="ar"/>
              </w:rPr>
              <w:t xml:space="preserve">根据《住房公积金管理条例》（国务院令</w:t>
            </w:r>
            <w:r>
              <w:rPr>
                <w:rStyle w:val="900"/>
                <w:rFonts w:ascii="宋体" w:eastAsia="宋体"/>
                <w:sz w:val="21"/>
                <w:lang w:val="en-US" w:eastAsia="zh-CN" w:bidi="ar"/>
              </w:rPr>
              <w:t xml:space="preserve"> 350 </w:t>
            </w:r>
            <w:r>
              <w:rPr>
                <w:rStyle w:val="899"/>
                <w:rFonts w:ascii="宋体" w:eastAsia="宋体"/>
                <w:sz w:val="21"/>
                <w:lang w:val="en-US" w:eastAsia="zh-CN" w:bidi="ar"/>
              </w:rPr>
              <w:t xml:space="preserve">号）企业单位应当按时、足额缴存住房公积金，在成本中列支各供应商住房公积金须按不低于</w:t>
            </w:r>
            <w:r>
              <w:rPr>
                <w:rStyle w:val="900"/>
                <w:rFonts w:ascii="宋体" w:eastAsia="宋体"/>
                <w:sz w:val="21"/>
                <w:lang w:val="en-US" w:eastAsia="zh-CN" w:bidi="ar"/>
              </w:rPr>
              <w:t xml:space="preserve">10</w:t>
            </w:r>
            <w:r>
              <w:rPr>
                <w:rStyle w:val="900"/>
                <w:rFonts w:hint="eastAsia" w:ascii="宋体" w:eastAsia="宋体"/>
                <w:sz w:val="21"/>
                <w:lang w:val="en-US" w:eastAsia="zh-CN" w:bidi="ar"/>
              </w:rPr>
              <w:t xml:space="preserve">1</w:t>
            </w:r>
            <w:r>
              <w:rPr>
                <w:rStyle w:val="899"/>
                <w:rFonts w:ascii="宋体" w:eastAsia="宋体"/>
                <w:sz w:val="21"/>
                <w:lang w:val="en-US" w:eastAsia="zh-CN" w:bidi="ar"/>
              </w:rPr>
              <w:t xml:space="preserve">元</w:t>
            </w:r>
            <w:r>
              <w:rPr>
                <w:rStyle w:val="900"/>
                <w:rFonts w:ascii="宋体" w:eastAsia="宋体"/>
                <w:sz w:val="21"/>
                <w:lang w:val="en-US" w:eastAsia="zh-CN" w:bidi="ar"/>
              </w:rPr>
              <w:t xml:space="preserve">/</w:t>
            </w:r>
            <w:r>
              <w:rPr>
                <w:rStyle w:val="899"/>
                <w:rFonts w:ascii="宋体" w:eastAsia="宋体"/>
                <w:sz w:val="21"/>
                <w:lang w:val="en-US" w:eastAsia="zh-CN" w:bidi="ar"/>
              </w:rPr>
              <w:t xml:space="preserve">人</w:t>
            </w:r>
            <w:r>
              <w:rPr>
                <w:rStyle w:val="900"/>
                <w:rFonts w:ascii="宋体" w:eastAsia="宋体"/>
                <w:sz w:val="21"/>
                <w:lang w:val="en-US" w:eastAsia="zh-CN" w:bidi="ar"/>
              </w:rPr>
              <w:t xml:space="preserve">/</w:t>
            </w:r>
            <w:r>
              <w:rPr>
                <w:rStyle w:val="899"/>
                <w:rFonts w:ascii="宋体" w:eastAsia="宋体"/>
                <w:sz w:val="21"/>
                <w:lang w:val="en-US" w:eastAsia="zh-CN" w:bidi="ar"/>
              </w:rPr>
              <w:t xml:space="preserve">每月。否则按无效标书处理。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项目负责人职务费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left"/>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2400.00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2400.00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此项为固定报价。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default" w:ascii="宋体" w:hAnsi="宋体" w:eastAsia="宋体" w:cs="宋体"/>
                <w:b/>
                <w:bCs/>
                <w:i w:val="0"/>
                <w:iCs w:val="0"/>
                <w:color w:val="000000"/>
                <w:sz w:val="21"/>
                <w:szCs w:val="21"/>
                <w:u w:val="none"/>
                <w:lang w:val="en-US" w:eastAsia="zh-CN" w:bidi="ar"/>
              </w:rPr>
              <w:t xml:space="preserve">其他综合管理杂费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both"/>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包括：人生意外伤害险、管理费、福利费、装备、培训费、服装费、加班费、合理利润及政策性文件规定等各项应有费用，以及为完成招标文件规定的安保服务工作所涉及到的一切相关费用（即招标文件中要求报价时考虑的一切费用）投标人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仿宋" w:hAnsi="仿宋" w:eastAsia="仿宋" w:cs="仿宋"/>
                <w:b w:val="0"/>
                <w:bCs/>
                <w:sz w:val="21"/>
                <w:szCs w:val="21"/>
              </w:rPr>
              <w:t xml:space="preserve">人生意外伤害险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default"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投标人综合考虑，自行报价。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仿宋" w:hAnsi="仿宋" w:eastAsia="仿宋" w:cs="仿宋"/>
                <w:b w:val="0"/>
                <w:bCs/>
                <w:sz w:val="21"/>
                <w:szCs w:val="21"/>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投标人综合考虑，自行报价。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仿宋" w:hAnsi="仿宋" w:eastAsia="仿宋" w:cs="仿宋"/>
                <w:b w:val="0"/>
                <w:bCs/>
                <w:sz w:val="21"/>
                <w:szCs w:val="21"/>
                <w:lang w:eastAsia="zh-CN"/>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投标人综合考虑，自行报价。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仿宋" w:hAnsi="仿宋" w:eastAsia="仿宋" w:cs="仿宋"/>
                <w:b w:val="0"/>
                <w:bCs/>
                <w:sz w:val="21"/>
                <w:szCs w:val="21"/>
                <w:lang w:eastAsia="zh-CN"/>
              </w:rPr>
              <w:suppressLineNumbers w:val="0"/>
            </w:pPr>
            <w:r>
              <w:rPr>
                <w:rFonts w:hint="eastAsia" w:ascii="仿宋" w:hAnsi="仿宋" w:eastAsia="仿宋" w:cs="仿宋"/>
                <w:b w:val="0"/>
                <w:bCs/>
                <w:sz w:val="21"/>
                <w:szCs w:val="21"/>
                <w:lang w:eastAsia="zh-CN"/>
              </w:rPr>
              <w:t xml:space="preserve">装备</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投标人综合考虑，自行报价。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仿宋" w:hAnsi="仿宋" w:eastAsia="仿宋" w:cs="仿宋"/>
                <w:b w:val="0"/>
                <w:bCs/>
                <w:sz w:val="21"/>
                <w:szCs w:val="21"/>
                <w:lang w:eastAsia="zh-CN"/>
              </w:rPr>
              <w:suppressLineNumbers w:val="0"/>
            </w:pPr>
            <w:r>
              <w:rPr>
                <w:rFonts w:hint="eastAsia" w:ascii="仿宋" w:hAnsi="仿宋" w:eastAsia="仿宋" w:cs="仿宋"/>
                <w:b w:val="0"/>
                <w:bCs/>
                <w:sz w:val="21"/>
                <w:szCs w:val="21"/>
                <w:lang w:val="en-US" w:eastAsia="zh-CN"/>
              </w:rPr>
              <w:t xml:space="preserve">培训费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投标人综合考虑，自行报价。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仿宋" w:hAnsi="仿宋" w:eastAsia="仿宋" w:cs="仿宋"/>
                <w:b w:val="0"/>
                <w:bCs/>
                <w:sz w:val="21"/>
                <w:szCs w:val="21"/>
              </w:rPr>
              <w:suppressLineNumbers w:val="0"/>
            </w:pPr>
            <w:r>
              <w:rPr>
                <w:rFonts w:hint="eastAsia" w:ascii="仿宋" w:hAnsi="仿宋" w:eastAsia="仿宋" w:cs="仿宋"/>
                <w:b w:val="0"/>
                <w:bCs/>
                <w:sz w:val="21"/>
                <w:szCs w:val="21"/>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投标人综合考虑，自行报价。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仿宋" w:hAnsi="仿宋" w:eastAsia="仿宋" w:cs="仿宋"/>
                <w:b w:val="0"/>
                <w:bCs/>
                <w:sz w:val="21"/>
                <w:szCs w:val="21"/>
                <w:lang w:val="en-US" w:eastAsia="zh-CN"/>
              </w:rPr>
              <w:suppressLineNumbers w:val="0"/>
            </w:pPr>
            <w:r>
              <w:rPr>
                <w:rFonts w:hint="eastAsia" w:ascii="仿宋" w:hAnsi="仿宋" w:eastAsia="仿宋" w:cs="仿宋"/>
                <w:b w:val="0"/>
                <w:bCs/>
                <w:sz w:val="21"/>
                <w:szCs w:val="21"/>
                <w:lang w:val="en-US" w:eastAsia="zh-CN"/>
              </w:rPr>
              <w:t xml:space="preserve">加班费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b/>
                <w:bCs/>
                <w:i w:val="0"/>
                <w:iCs w:val="0"/>
                <w:color w:val="0000ff"/>
                <w:sz w:val="21"/>
                <w:szCs w:val="21"/>
                <w:u w:val="none"/>
                <w:lang w:val="en-US" w:eastAsia="zh-CN" w:bidi="ar"/>
              </w:rPr>
              <w:t xml:space="preserve">本项目要求国假加班人员数不得低于6人，各投标人须按不低于3792.48元/人/年填报，否则作无效标书处理</w:t>
            </w:r>
            <w:r>
              <w:rPr>
                <w:rFonts w:hint="eastAsia" w:ascii="宋体" w:hAnsi="Arial" w:eastAsia="宋体" w:cs="Arial"/>
                <w:i w:val="0"/>
                <w:iCs w:val="0"/>
                <w:color w:val="000000"/>
                <w:sz w:val="21"/>
                <w:szCs w:val="21"/>
                <w:u w:val="none"/>
                <w:lang w:val="en-US" w:eastAsia="zh-CN" w:bidi="ar"/>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仿宋" w:hAnsi="仿宋" w:eastAsia="仿宋" w:cs="仿宋"/>
                <w:b w:val="0"/>
                <w:bCs/>
                <w:sz w:val="21"/>
                <w:szCs w:val="21"/>
                <w:lang w:val="en-US" w:eastAsia="zh-CN"/>
              </w:rPr>
              <w:suppressLineNumbers w:val="0"/>
            </w:pPr>
            <w:r>
              <w:rPr>
                <w:rFonts w:hint="eastAsia" w:ascii="仿宋" w:hAnsi="仿宋" w:eastAsia="仿宋" w:cs="仿宋"/>
                <w:b w:val="0"/>
                <w:bCs/>
                <w:sz w:val="21"/>
                <w:szCs w:val="21"/>
              </w:rPr>
              <w:t xml:space="preserve">利润</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Arial" w:eastAsia="宋体" w:cs="Arial"/>
                <w:i w:val="0"/>
                <w:iCs w:val="0"/>
                <w:color w:val="000000"/>
                <w:sz w:val="21"/>
                <w:szCs w:val="21"/>
                <w:u w:val="none"/>
                <w:lang w:val="en-US" w:eastAsia="zh-CN" w:bidi="ar"/>
              </w:rPr>
              <w:suppressLineNumbers w:val="0"/>
            </w:pPr>
            <w:r>
              <w:rPr>
                <w:rFonts w:hint="eastAsia" w:ascii="宋体" w:hAnsi="Arial" w:eastAsia="宋体" w:cs="Arial"/>
                <w:i w:val="0"/>
                <w:iCs w:val="0"/>
                <w:color w:val="000000"/>
                <w:sz w:val="21"/>
                <w:szCs w:val="21"/>
                <w:u w:val="none"/>
                <w:lang w:val="en-US" w:eastAsia="zh-CN" w:bidi="ar"/>
              </w:rPr>
              <w:t xml:space="preserve">投标人综合考虑，自行报价。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各供应商填报的税率统一按照6.72%计算。</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投标总报价（1+2+3+4）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29"/>
        <w:jc w:val="both"/>
        <w:spacing w:beforeAutospacing="0" w:afterAutospacing="0"/>
        <w:rPr>
          <w:color w:val="auto"/>
          <w:highlight w:val="none"/>
        </w:rPr>
      </w:pPr>
      <w:r>
        <w:rPr>
          <w:color w:val="auto"/>
          <w:highlight w:val="none"/>
        </w:rPr>
      </w:r>
      <w:r/>
    </w:p>
    <w:p>
      <w:pPr>
        <w:ind w:firstLine="470"/>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备注：1、</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highlight w:val="none"/>
          <w:lang w:val="zh-CN"/>
        </w:rPr>
        <w:t xml:space="preserve">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w:t>
      </w:r>
      <w:r>
        <w:rPr>
          <w:rFonts w:hint="eastAsia" w:ascii="宋体" w:hAnsi="宋体"/>
          <w:b/>
          <w:color w:val="auto"/>
          <w:sz w:val="24"/>
          <w:highlight w:val="none"/>
          <w:lang w:val="en-US" w:eastAsia="zh-CN"/>
        </w:rPr>
        <w:t xml:space="preserve">磋商</w:t>
      </w:r>
      <w:r>
        <w:rPr>
          <w:rFonts w:hint="eastAsia" w:ascii="宋体" w:hAnsi="宋体"/>
          <w:b/>
          <w:color w:val="auto"/>
          <w:sz w:val="24"/>
          <w:highlight w:val="none"/>
        </w:rPr>
        <w:t xml:space="preserve">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磋商小组进行符合性审查时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pStyle w:val="729"/>
        <w:ind w:firstLine="480"/>
        <w:jc w:val="both"/>
        <w:spacing w:beforeAutospacing="0" w:afterAutospacing="0" w:line="360" w:lineRule="auto"/>
        <w:rPr>
          <w:rFonts w:ascii="宋体" w:hAnsi="宋体" w:cs="宋体"/>
          <w:b/>
          <w:bCs/>
          <w:color w:val="ff0000"/>
        </w:rPr>
      </w:pPr>
      <w:r>
        <w:rPr>
          <w:rFonts w:hint="eastAsia" w:ascii="宋体" w:hAnsi="宋体" w:eastAsia="宋体" w:cs="宋体"/>
          <w:b/>
          <w:bCs/>
          <w:color w:val="ff0000"/>
          <w:lang w:val="en-US" w:eastAsia="zh-CN"/>
        </w:rPr>
        <w:t xml:space="preserve">2、</w:t>
      </w:r>
      <w:r>
        <w:rPr>
          <w:rFonts w:hint="eastAsia" w:ascii="宋体" w:hAnsi="宋体" w:cs="宋体"/>
          <w:b/>
          <w:bCs/>
          <w:color w:val="ff0000"/>
        </w:rPr>
        <w:t xml:space="preserve">“投标分项报价表”中“投标总报价”数额应当与“开标一览表”中“</w:t>
      </w:r>
      <w:bookmarkStart w:id="182" w:name="_Hlk208908629"/>
      <w:r>
        <w:rPr>
          <w:rFonts w:hint="eastAsia" w:ascii="宋体" w:hAnsi="宋体" w:cs="宋体"/>
          <w:b/>
          <w:bCs/>
          <w:color w:val="ff0000"/>
        </w:rPr>
        <w:t xml:space="preserve">投标总报价</w:t>
      </w:r>
      <w:bookmarkEnd w:id="182"/>
      <w:r>
        <w:rPr>
          <w:rFonts w:hint="eastAsia" w:ascii="宋体" w:hAnsi="宋体" w:cs="宋体"/>
          <w:b/>
          <w:bCs/>
          <w:color w:val="ff0000"/>
        </w:rPr>
        <w:t xml:space="preserve">”数额一致</w:t>
      </w:r>
      <w:r>
        <w:rPr>
          <w:rFonts w:hint="eastAsia" w:ascii="宋体" w:hAnsi="宋体" w:eastAsia="宋体" w:cs="宋体"/>
          <w:b/>
          <w:bCs/>
          <w:color w:val="ff0000"/>
        </w:rPr>
        <w:t xml:space="preserve">，如不一致以开标一览表为准（开标一览表中报</w:t>
      </w:r>
      <w:r>
        <w:rPr>
          <w:rFonts w:hint="eastAsia" w:ascii="宋体" w:hAnsi="宋体" w:eastAsia="宋体" w:cs="宋体"/>
          <w:b/>
          <w:bCs/>
          <w:color w:val="ff0000"/>
          <w:lang w:val="en-US" w:eastAsia="zh-CN"/>
        </w:rPr>
        <w:t xml:space="preserve">一整年度的</w:t>
      </w:r>
      <w:r>
        <w:rPr>
          <w:rFonts w:hint="eastAsia" w:ascii="宋体" w:hAnsi="宋体" w:eastAsia="宋体" w:cs="宋体"/>
          <w:b/>
          <w:bCs/>
          <w:color w:val="ff0000"/>
        </w:rPr>
        <w:t xml:space="preserve">费用）</w:t>
      </w:r>
      <w:r>
        <w:rPr>
          <w:rFonts w:hint="eastAsia" w:ascii="宋体" w:hAnsi="宋体" w:cs="宋体"/>
          <w:b/>
          <w:bCs/>
          <w:color w:val="ff0000"/>
        </w:rPr>
        <w:t xml:space="preserve">。</w:t>
      </w:r>
      <w:r/>
    </w:p>
    <w:p>
      <w:pPr>
        <w:ind w:firstLine="470"/>
        <w:spacing w:line="360" w:lineRule="auto"/>
        <w:rPr>
          <w:rFonts w:ascii="宋体" w:hAnsi="宋体"/>
          <w:b/>
          <w:sz w:val="24"/>
          <w:highlight w:val="green"/>
        </w:rPr>
      </w:pPr>
      <w:r>
        <w:rPr>
          <w:rFonts w:ascii="宋体" w:hAnsi="宋体"/>
          <w:b/>
          <w:sz w:val="24"/>
          <w:highlight w:val="green"/>
        </w:rPr>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jc w:val="center"/>
        <w:rPr>
          <w:rFonts w:ascii="黑体" w:hAnsi="黑体" w:eastAsia="黑体"/>
          <w:b/>
          <w:color w:val="000000"/>
          <w:sz w:val="32"/>
          <w:szCs w:val="32"/>
        </w:rPr>
        <w:outlineLvl w:val="0"/>
      </w:pPr>
      <w:r/>
      <w:bookmarkStart w:id="183" w:name="_Hlt26955066"/>
      <w:r/>
      <w:bookmarkStart w:id="184" w:name="_Hlt26955054"/>
      <w:r/>
      <w:bookmarkStart w:id="185" w:name="_格式2__法定代表人授权书"/>
      <w:r/>
      <w:bookmarkStart w:id="186" w:name="_Hlt26609389"/>
      <w:r/>
      <w:bookmarkStart w:id="187" w:name="_Hlt26671374"/>
      <w:r/>
      <w:bookmarkStart w:id="188" w:name="_Toc462564146"/>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、资格性审查响应对照表</w:t>
      </w:r>
      <w:r/>
    </w:p>
    <w:tbl>
      <w:tblPr>
        <w:tblStyle w:val="702"/>
        <w:tblW w:w="9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954"/>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954"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5447" w:type="dxa"/>
            <w:textDirection w:val="lrTb"/>
            <w:noWrap w:val="false"/>
          </w:tcPr>
          <w:p>
            <w:pPr>
              <w:spacing w:line="340" w:lineRule="exact"/>
              <w:rPr>
                <w:rFonts w:hAnsi="宋体"/>
                <w:iCs/>
                <w:sz w:val="24"/>
              </w:rPr>
            </w:pPr>
            <w:r>
              <w:rPr>
                <w:rFonts w:hint="eastAsia" w:ascii="宋体" w:hAnsi="宋体"/>
                <w:szCs w:val="21"/>
              </w:rPr>
              <w:t xml:space="preserve">法人或者其他组织的营业执照等证明文件</w:t>
            </w:r>
            <w:r/>
          </w:p>
        </w:tc>
        <w:tc>
          <w:tcPr>
            <w:tcW w:w="1680" w:type="dxa"/>
            <w:vAlign w:val="center"/>
            <w:textDirection w:val="lrTb"/>
            <w:noWrap w:val="false"/>
          </w:tcPr>
          <w:p>
            <w:pPr>
              <w:rPr>
                <w:rFonts w:hAnsi="宋体"/>
                <w:b/>
              </w:rPr>
            </w:pPr>
            <w:r>
              <w:rPr>
                <w:rFonts w:hAnsi="宋体"/>
                <w:b/>
              </w:rPr>
            </w:r>
            <w:r/>
          </w:p>
        </w:tc>
        <w:tc>
          <w:tcPr>
            <w:tcW w:w="1954"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lang w:val="en-US" w:eastAsia="zh-CN"/>
              </w:rPr>
              <w:t xml:space="preserve">上一年度</w:t>
            </w:r>
            <w:r>
              <w:rPr>
                <w:rFonts w:hint="eastAsia" w:ascii="宋体" w:hAnsi="宋体"/>
                <w:szCs w:val="21"/>
              </w:rPr>
              <w:t xml:space="preserve">财务状况报告</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依法缴纳税收的相关材料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社会保障资金的相关材料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434"/>
        </w:trPr>
        <w:tc>
          <w:tcPr>
            <w:tcW w:w="646" w:type="dxa"/>
            <w:vAlign w:val="center"/>
            <w:textDirection w:val="lrTb"/>
            <w:noWrap w:val="false"/>
          </w:tcPr>
          <w:p>
            <w:pPr>
              <w:rPr>
                <w:rFonts w:hAnsi="宋体"/>
              </w:rPr>
            </w:pPr>
            <w:r>
              <w:rPr>
                <w:rFonts w:hint="eastAsia" w:hAnsi="宋体"/>
              </w:rPr>
              <w:t xml:space="preserve">5</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具备履行合同所必需的设备和专业技术能力的书面声明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6</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参加政府采购活动前3年内在经营活动中没有重大违法记录的书面声明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30"/>
        </w:trPr>
        <w:tc>
          <w:tcPr>
            <w:tcW w:w="646" w:type="dxa"/>
            <w:vAlign w:val="center"/>
            <w:textDirection w:val="lrTb"/>
            <w:noWrap w:val="false"/>
          </w:tcPr>
          <w:p>
            <w:pPr>
              <w:rPr>
                <w:rFonts w:hAnsi="宋体"/>
              </w:rPr>
            </w:pPr>
            <w:r>
              <w:rPr>
                <w:rFonts w:hint="eastAsia" w:hAnsi="宋体"/>
              </w:rPr>
              <w:t xml:space="preserve">7</w:t>
            </w:r>
            <w:r/>
          </w:p>
        </w:tc>
        <w:tc>
          <w:tcPr>
            <w:tcW w:w="5447" w:type="dxa"/>
            <w:vAlign w:val="center"/>
            <w:textDirection w:val="lrTb"/>
            <w:noWrap w:val="false"/>
          </w:tcPr>
          <w:p>
            <w:pPr>
              <w:ind w:right="168"/>
              <w:spacing w:line="340" w:lineRule="exact"/>
              <w:rPr>
                <w:rFonts w:hint="default" w:ascii="宋体" w:hAnsi="宋体"/>
                <w:szCs w:val="21"/>
                <w:lang w:val="en-US"/>
              </w:rPr>
            </w:pPr>
            <w:r>
              <w:rPr>
                <w:rFonts w:hint="eastAsia" w:ascii="宋体" w:hAnsi="宋体"/>
                <w:szCs w:val="21"/>
                <w:lang w:val="en-US" w:eastAsia="zh-CN"/>
              </w:rPr>
              <w:t xml:space="preserve">资质材料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62"/>
        </w:trPr>
        <w:tc>
          <w:tcPr>
            <w:tcW w:w="646" w:type="dxa"/>
            <w:vAlign w:val="center"/>
            <w:textDirection w:val="lrTb"/>
            <w:noWrap w:val="false"/>
          </w:tcPr>
          <w:p>
            <w:pPr>
              <w:rPr>
                <w:rFonts w:hAnsi="宋体"/>
                <w:highlight w:val="yellow"/>
              </w:rPr>
            </w:pPr>
            <w:r>
              <w:rPr>
                <w:rFonts w:hint="eastAsia" w:hAnsi="宋体"/>
              </w:rPr>
              <w:t xml:space="preserve">8</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lang w:val="en-US" w:eastAsia="zh-CN"/>
              </w:rPr>
              <w:t xml:space="preserve">信用中国查询材料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int="eastAsia" w:hAnsi="宋体" w:eastAsia="宋体"/>
                <w:lang w:val="en-US" w:eastAsia="zh-CN"/>
              </w:rPr>
            </w:pPr>
            <w:r>
              <w:rPr>
                <w:rFonts w:hint="eastAsia" w:hAnsi="宋体" w:eastAsia="宋体"/>
                <w:lang w:val="en-US" w:eastAsia="zh-CN"/>
              </w:rPr>
              <w:t xml:space="preserve">9</w:t>
            </w:r>
            <w:r/>
          </w:p>
        </w:tc>
        <w:tc>
          <w:tcPr>
            <w:tcW w:w="5447" w:type="dxa"/>
            <w:vAlign w:val="center"/>
            <w:textDirection w:val="lrTb"/>
            <w:noWrap w:val="false"/>
          </w:tcPr>
          <w:p>
            <w:pPr>
              <w:ind w:right="168"/>
              <w:spacing w:line="340" w:lineRule="exact"/>
              <w:rPr>
                <w:rFonts w:hint="default" w:ascii="宋体" w:hAnsi="宋体" w:eastAsiaTheme="minorEastAsia"/>
                <w:szCs w:val="21"/>
                <w:lang w:val="en-US" w:eastAsia="zh-CN"/>
              </w:rPr>
            </w:pPr>
            <w:r>
              <w:rPr>
                <w:rFonts w:hint="default" w:ascii="宋体" w:hAnsi="宋体" w:eastAsiaTheme="minorEastAsia"/>
                <w:szCs w:val="21"/>
                <w:lang w:val="en-US" w:eastAsia="zh-CN"/>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eastAsia="宋体"/>
              </w:rPr>
            </w:pPr>
            <w:r>
              <w:rPr>
                <w:rFonts w:hAnsi="宋体" w:eastAsia="宋体"/>
              </w:rPr>
            </w:r>
            <w:r/>
          </w:p>
        </w:tc>
        <w:tc>
          <w:tcPr>
            <w:tcW w:w="5447" w:type="dxa"/>
            <w:vAlign w:val="center"/>
            <w:textDirection w:val="lrTb"/>
            <w:noWrap w:val="false"/>
          </w:tcPr>
          <w:p>
            <w:pPr>
              <w:spacing w:line="590" w:lineRule="atLeast"/>
              <w:rPr>
                <w:rFonts w:hAnsi="宋体" w:eastAsia="宋体"/>
                <w:iCs/>
                <w:sz w:val="24"/>
              </w:rPr>
            </w:pPr>
            <w:r>
              <w:rPr>
                <w:rFonts w:hAnsi="宋体" w:eastAsia="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rPr>
            </w:pPr>
            <w:r>
              <w:rPr>
                <w:rFonts w:hAnsi="宋体"/>
              </w:rPr>
            </w:r>
            <w:r/>
          </w:p>
        </w:tc>
        <w:tc>
          <w:tcPr>
            <w:tcW w:w="5447" w:type="dxa"/>
            <w:vAlign w:val="center"/>
            <w:textDirection w:val="lrTb"/>
            <w:noWrap w:val="false"/>
          </w:tcPr>
          <w:p>
            <w:pPr>
              <w:spacing w:line="590" w:lineRule="atLeast"/>
              <w:rPr>
                <w:rFonts w:hAnsi="宋体"/>
                <w:iCs/>
                <w:sz w:val="24"/>
              </w:rPr>
            </w:pPr>
            <w:r>
              <w:rPr>
                <w:rFonts w:hAnsi="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spacing w:before="50" w:after="50"/>
        <w:rPr>
          <w:rFonts w:hAnsi="宋体"/>
          <w:b/>
          <w:bCs/>
          <w:sz w:val="32"/>
          <w:szCs w:val="32"/>
        </w:rPr>
      </w:pPr>
      <w:r>
        <w:rPr>
          <w:rFonts w:hAnsi="宋体"/>
          <w:b/>
          <w:bCs/>
          <w:sz w:val="32"/>
          <w:szCs w:val="32"/>
        </w:rPr>
      </w:r>
      <w:r/>
    </w:p>
    <w:p>
      <w:pPr>
        <w:pStyle w:val="731"/>
        <w:rPr>
          <w:rFonts w:hAnsi="宋体"/>
          <w:b/>
          <w:bCs/>
          <w:sz w:val="32"/>
          <w:szCs w:val="32"/>
        </w:rPr>
      </w:pPr>
      <w:r>
        <w:rPr>
          <w:rFonts w:hAnsi="宋体"/>
          <w:b/>
          <w:bCs/>
          <w:sz w:val="32"/>
          <w:szCs w:val="32"/>
        </w:rPr>
      </w:r>
      <w:r/>
    </w:p>
    <w:p>
      <w:pPr>
        <w:pStyle w:val="731"/>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pStyle w:val="709"/>
        <w:rPr>
          <w:rFonts w:hAnsi="宋体"/>
          <w:b/>
          <w:bCs/>
          <w:sz w:val="32"/>
          <w:szCs w:val="32"/>
        </w:rPr>
      </w:pPr>
      <w:r>
        <w:rPr>
          <w:rFonts w:hAnsi="宋体"/>
          <w:b/>
          <w:bCs/>
          <w:sz w:val="32"/>
          <w:szCs w:val="32"/>
        </w:rPr>
      </w:r>
      <w:r/>
    </w:p>
    <w:p>
      <w:r/>
      <w:r/>
    </w:p>
    <w:p>
      <w:r/>
      <w:r/>
    </w:p>
    <w:p>
      <w:r/>
      <w:r/>
    </w:p>
    <w:p>
      <w:r/>
      <w:r/>
    </w:p>
    <w:p>
      <w:r/>
      <w:r/>
    </w:p>
    <w:p>
      <w:r/>
      <w:r/>
    </w:p>
    <w:p>
      <w:r/>
      <w:r/>
    </w:p>
    <w:p>
      <w:r/>
      <w:r/>
    </w:p>
    <w:p>
      <w:r/>
      <w:r/>
    </w:p>
    <w:p>
      <w:pPr>
        <w:spacing w:before="50" w:after="50"/>
        <w:rPr>
          <w:rFonts w:hAnsi="宋体"/>
          <w:b/>
          <w:bCs/>
          <w:sz w:val="32"/>
          <w:szCs w:val="32"/>
        </w:rPr>
      </w:pPr>
      <w:r>
        <w:rPr>
          <w:rFonts w:hAnsi="宋体"/>
          <w:b/>
          <w:bCs/>
          <w:sz w:val="32"/>
          <w:szCs w:val="32"/>
        </w:rPr>
      </w:r>
      <w:r/>
    </w:p>
    <w:p>
      <w:pPr>
        <w:jc w:val="center"/>
        <w:rPr>
          <w:rFonts w:ascii="黑体" w:hAnsi="黑体" w:eastAsia="黑体"/>
          <w:b/>
          <w:color w:val="000000"/>
          <w:sz w:val="32"/>
          <w:szCs w:val="32"/>
        </w:rPr>
        <w:outlineLvl w:val="0"/>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、符合性检查响应对照表</w:t>
      </w:r>
      <w:r/>
    </w:p>
    <w:tbl>
      <w:tblPr>
        <w:tblStyle w:val="70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int="eastAsia" w:hAnsi="宋体" w:eastAsia="宋体"/>
                <w:iCs/>
                <w:sz w:val="24"/>
                <w:lang w:val="en-US" w:eastAsia="zh-CN"/>
              </w:rPr>
            </w:pPr>
            <w:r>
              <w:rPr>
                <w:rFonts w:hint="eastAsia" w:hAnsi="宋体" w:eastAsia="宋体"/>
                <w:iCs/>
                <w:sz w:val="24"/>
                <w:lang w:val="en-US" w:eastAsia="zh-CN"/>
              </w:rPr>
              <w:t xml:space="preserve">1</w:t>
            </w:r>
            <w:r/>
          </w:p>
        </w:tc>
        <w:tc>
          <w:tcPr>
            <w:tcW w:w="5447" w:type="dxa"/>
            <w:vAlign w:val="center"/>
            <w:textDirection w:val="lrTb"/>
            <w:noWrap w:val="false"/>
          </w:tcPr>
          <w:p>
            <w:pPr>
              <w:rPr>
                <w:rFonts w:hint="eastAsia" w:hAnsi="宋体"/>
                <w:iCs/>
                <w:sz w:val="24"/>
                <w:lang w:val="en-US" w:eastAsia="zh-CN"/>
              </w:rPr>
            </w:pPr>
            <w:r>
              <w:rPr>
                <w:rFonts w:hint="eastAsia" w:hAnsi="宋体"/>
                <w:iCs/>
                <w:sz w:val="24"/>
                <w:lang w:val="en-US" w:eastAsia="zh-CN"/>
              </w:rPr>
              <w:t xml:space="preserve">项目概况</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2</w:t>
            </w:r>
            <w:r/>
          </w:p>
        </w:tc>
        <w:tc>
          <w:tcPr>
            <w:tcW w:w="5447" w:type="dxa"/>
            <w:vAlign w:val="center"/>
            <w:textDirection w:val="lrTb"/>
            <w:noWrap w:val="false"/>
          </w:tcPr>
          <w:p>
            <w:pPr>
              <w:rPr>
                <w:rFonts w:hint="default" w:hAnsi="宋体"/>
                <w:iCs/>
                <w:sz w:val="24"/>
                <w:lang w:val="en-US" w:eastAsia="zh-CN"/>
              </w:rPr>
            </w:pPr>
            <w:r>
              <w:rPr>
                <w:rFonts w:hint="eastAsia" w:hAnsi="宋体"/>
                <w:iCs/>
                <w:sz w:val="24"/>
                <w:lang w:val="en-US" w:eastAsia="zh-CN"/>
              </w:rPr>
              <w:t xml:space="preserve">项目需求内容响应</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3</w:t>
            </w:r>
            <w:r/>
          </w:p>
        </w:tc>
        <w:tc>
          <w:tcPr>
            <w:tcW w:w="5447" w:type="dxa"/>
            <w:vAlign w:val="center"/>
            <w:textDirection w:val="lrTb"/>
            <w:noWrap w:val="false"/>
          </w:tcPr>
          <w:p>
            <w:pPr>
              <w:rPr>
                <w:rFonts w:hint="default" w:hAnsi="宋体"/>
                <w:iCs/>
                <w:sz w:val="24"/>
                <w:lang w:val="en-US" w:eastAsia="zh-CN"/>
              </w:rPr>
            </w:pPr>
            <w:r>
              <w:rPr>
                <w:rFonts w:hint="eastAsia" w:hAnsi="宋体"/>
                <w:iCs/>
                <w:sz w:val="24"/>
                <w:lang w:val="en-US" w:eastAsia="zh-CN"/>
              </w:rPr>
              <w:t xml:space="preserve">其他要求</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eastAsia="宋体"/>
                <w:iCs/>
                <w:sz w:val="24"/>
                <w:lang w:val="en-US" w:eastAsia="zh-CN"/>
              </w:rPr>
            </w:pPr>
            <w:r>
              <w:rPr>
                <w:rFonts w:hint="eastAsia" w:hAnsi="宋体" w:eastAsia="宋体"/>
                <w:iCs/>
                <w:sz w:val="24"/>
                <w:lang w:val="en-US" w:eastAsia="zh-CN"/>
              </w:rPr>
              <w:t xml:space="preserve">4</w:t>
            </w:r>
            <w:r/>
          </w:p>
        </w:tc>
        <w:tc>
          <w:tcPr>
            <w:tcW w:w="5447" w:type="dxa"/>
            <w:vAlign w:val="center"/>
            <w:textDirection w:val="lrTb"/>
            <w:noWrap w:val="false"/>
          </w:tcPr>
          <w:p>
            <w:pPr>
              <w:rPr>
                <w:rFonts w:hint="eastAsia" w:hAnsi="宋体"/>
                <w:iCs/>
                <w:sz w:val="24"/>
                <w:lang w:val="en-US" w:eastAsia="zh-CN"/>
              </w:rPr>
            </w:pPr>
            <w:r>
              <w:rPr>
                <w:rFonts w:hint="eastAsia" w:hAnsi="宋体"/>
                <w:iCs/>
                <w:sz w:val="24"/>
                <w:lang w:val="en-US" w:eastAsia="zh-CN"/>
              </w:rPr>
              <w:t xml:space="preserve">投标报价要求</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5</w:t>
            </w:r>
            <w:r/>
          </w:p>
        </w:tc>
        <w:tc>
          <w:tcPr>
            <w:tcW w:w="5447" w:type="dxa"/>
            <w:vAlign w:val="center"/>
            <w:textDirection w:val="lrTb"/>
            <w:noWrap w:val="false"/>
          </w:tcPr>
          <w:p>
            <w:pPr>
              <w:rPr>
                <w:rFonts w:hint="default" w:hAnsi="宋体"/>
                <w:iCs/>
                <w:sz w:val="24"/>
                <w:lang w:val="en-US" w:eastAsia="zh-CN"/>
              </w:rPr>
            </w:pPr>
            <w:r>
              <w:rPr>
                <w:rFonts w:hint="eastAsia" w:hAnsi="宋体"/>
                <w:iCs/>
                <w:sz w:val="24"/>
                <w:lang w:val="en-US" w:eastAsia="zh-CN"/>
              </w:rPr>
              <w:t xml:space="preserve">合同履行期限及地点响应</w:t>
            </w:r>
            <w:r/>
          </w:p>
        </w:tc>
        <w:tc>
          <w:tcPr>
            <w:tcW w:w="1680" w:type="dxa"/>
            <w:vAlign w:val="center"/>
            <w:textDirection w:val="lrTb"/>
            <w:noWrap w:val="false"/>
          </w:tcPr>
          <w:p>
            <w:pPr>
              <w:rPr>
                <w:rFonts w:hAnsi="宋体"/>
                <w:iCs/>
                <w:sz w:val="24"/>
              </w:rPr>
            </w:pPr>
            <w:r>
              <w:rPr>
                <w:rFonts w:hAnsi="宋体"/>
                <w:iCs/>
                <w:sz w:val="24"/>
              </w:rPr>
            </w:r>
            <w:r/>
          </w:p>
        </w:tc>
        <w:tc>
          <w:tcPr>
            <w:tcW w:w="1785" w:type="dxa"/>
            <w:vAlign w:val="center"/>
            <w:textDirection w:val="lrTb"/>
            <w:noWrap w:val="false"/>
          </w:tcPr>
          <w:p>
            <w:pPr>
              <w:rPr>
                <w:rFonts w:hAnsi="宋体"/>
                <w:iCs/>
                <w:sz w:val="24"/>
              </w:rPr>
            </w:pPr>
            <w:r>
              <w:rPr>
                <w:rFonts w:hAnsi="宋体"/>
                <w:iCs/>
                <w:sz w:val="24"/>
              </w:rPr>
            </w:r>
            <w:r/>
          </w:p>
        </w:tc>
      </w:tr>
      <w:tr>
        <w:trPr>
          <w:trHeight w:val="561"/>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6</w:t>
            </w:r>
            <w:r/>
          </w:p>
        </w:tc>
        <w:tc>
          <w:tcPr>
            <w:tcW w:w="5447" w:type="dxa"/>
            <w:vAlign w:val="center"/>
            <w:textDirection w:val="lrTb"/>
            <w:noWrap w:val="false"/>
          </w:tcPr>
          <w:p>
            <w:pPr>
              <w:rPr>
                <w:rFonts w:hint="default" w:hAnsi="宋体"/>
                <w:iCs/>
                <w:sz w:val="24"/>
                <w:lang w:val="en-US" w:eastAsia="zh-CN"/>
              </w:rPr>
            </w:pPr>
            <w:r>
              <w:rPr>
                <w:rFonts w:hint="eastAsia" w:hAnsi="宋体"/>
                <w:iCs/>
                <w:sz w:val="24"/>
                <w:lang w:val="en-US" w:eastAsia="zh-CN"/>
              </w:rPr>
              <w:t xml:space="preserve">付款方式响应</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7</w:t>
            </w:r>
            <w:r/>
          </w:p>
        </w:tc>
        <w:tc>
          <w:tcPr>
            <w:tcW w:w="5447" w:type="dxa"/>
            <w:vAlign w:val="center"/>
            <w:textDirection w:val="lrTb"/>
            <w:noWrap w:val="false"/>
          </w:tcPr>
          <w:p>
            <w:pPr>
              <w:rPr>
                <w:rFonts w:hint="eastAsia" w:hAnsi="宋体" w:eastAsia="宋体"/>
                <w:iCs/>
                <w:sz w:val="24"/>
                <w:szCs w:val="22"/>
                <w:lang w:val="en-US" w:eastAsia="zh-CN"/>
              </w:rPr>
            </w:pPr>
            <w:r>
              <w:rPr>
                <w:rFonts w:hint="eastAsia" w:hAnsi="宋体" w:eastAsia="宋体"/>
                <w:iCs/>
                <w:sz w:val="24"/>
                <w:szCs w:val="22"/>
                <w:lang w:val="en-US" w:eastAsia="zh-CN"/>
              </w:rPr>
              <w:t xml:space="preserve">承诺函（投标人须在响应文件中承诺：在签订合同前向采购单位提供盐城市公安局备案记录材料。未提供承诺函作为无效投标人处理）</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8</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eastAsia" w:hAnsi="宋体" w:eastAsiaTheme="minorEastAsia"/>
                <w:iCs/>
                <w:sz w:val="24"/>
                <w:szCs w:val="22"/>
                <w:lang w:val="en-US" w:eastAsia="zh-CN"/>
              </w:rPr>
            </w:pPr>
            <w:r>
              <w:rPr>
                <w:rFonts w:hint="eastAsia" w:hAnsi="宋体"/>
                <w:iCs/>
                <w:sz w:val="24"/>
                <w:szCs w:val="22"/>
                <w:lang w:val="en-US" w:eastAsia="zh-CN"/>
              </w:rPr>
              <w:t xml:space="preserve">9</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10</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692"/>
        <w:rPr>
          <w:rFonts w:hAnsi="宋体" w:eastAsia="宋体"/>
          <w:b/>
          <w:bCs/>
          <w:sz w:val="32"/>
          <w:szCs w:val="32"/>
        </w:rPr>
        <w:outlineLvl w:val="9"/>
      </w:pPr>
      <w:r>
        <w:rPr>
          <w:rFonts w:hAnsi="宋体" w:eastAsia="宋体"/>
          <w:b/>
          <w:bCs/>
          <w:sz w:val="32"/>
          <w:szCs w:val="32"/>
        </w:rPr>
      </w:r>
      <w:r/>
    </w:p>
    <w:p>
      <w:pPr>
        <w:rPr>
          <w:rFonts w:hAnsi="宋体"/>
          <w:b/>
          <w:bCs/>
          <w:sz w:val="32"/>
          <w:szCs w:val="32"/>
        </w:rPr>
      </w:pPr>
      <w:r>
        <w:rPr>
          <w:rFonts w:hAnsi="宋体"/>
          <w:b/>
          <w:bCs/>
          <w:sz w:val="32"/>
          <w:szCs w:val="32"/>
        </w:rPr>
      </w:r>
      <w:r/>
    </w:p>
    <w:p>
      <w:pPr>
        <w:pStyle w:val="732"/>
        <w:ind w:firstLine="643"/>
        <w:spacing w:before="120" w:after="120"/>
        <w:rPr>
          <w:b/>
          <w:bCs/>
          <w:sz w:val="32"/>
          <w:szCs w:val="32"/>
        </w:rPr>
      </w:pPr>
      <w:r>
        <w:rPr>
          <w:b/>
          <w:bCs/>
          <w:sz w:val="32"/>
          <w:szCs w:val="32"/>
        </w:rPr>
      </w:r>
      <w:r/>
    </w:p>
    <w:p>
      <w:r/>
      <w:r/>
    </w:p>
    <w:p>
      <w:pPr>
        <w:pStyle w:val="732"/>
        <w:spacing w:before="120" w:after="120"/>
      </w:pPr>
      <w:r/>
      <w:r/>
    </w:p>
    <w:p>
      <w:r/>
      <w:r/>
    </w:p>
    <w:p>
      <w:pPr>
        <w:pStyle w:val="732"/>
      </w:pPr>
      <w:r/>
      <w:r/>
    </w:p>
    <w:p>
      <w:r/>
      <w:r/>
    </w:p>
    <w:p>
      <w:pPr>
        <w:pStyle w:val="732"/>
      </w:pPr>
      <w:r/>
      <w:r/>
    </w:p>
    <w:p>
      <w:r/>
      <w:r/>
    </w:p>
    <w:p>
      <w:r/>
      <w:r/>
    </w:p>
    <w:p>
      <w:pPr>
        <w:pStyle w:val="709"/>
      </w:pPr>
      <w:r/>
      <w:r/>
    </w:p>
    <w:p>
      <w:r/>
      <w:r/>
    </w:p>
    <w:p>
      <w:r/>
      <w:r/>
    </w:p>
    <w:p>
      <w:pPr>
        <w:pStyle w:val="692"/>
        <w:jc w:val="left"/>
        <w:spacing w:line="360" w:lineRule="auto"/>
        <w:rPr>
          <w:rFonts w:hAnsi="宋体" w:eastAsia="宋体"/>
          <w:b/>
          <w:bCs/>
          <w:sz w:val="32"/>
          <w:szCs w:val="32"/>
        </w:rPr>
      </w:pPr>
      <w:r>
        <w:rPr>
          <w:rFonts w:hint="eastAsia" w:hAnsi="宋体" w:eastAsia="宋体"/>
          <w:b/>
          <w:bCs/>
          <w:sz w:val="32"/>
          <w:szCs w:val="32"/>
        </w:rPr>
        <w:t xml:space="preserve">附件1、            </w:t>
      </w:r>
      <w:r>
        <w:rPr>
          <w:rFonts w:hint="eastAsia" w:hAnsi="宋体" w:eastAsia="宋体"/>
          <w:b/>
          <w:bCs/>
          <w:sz w:val="32"/>
          <w:szCs w:val="32"/>
          <w:lang w:val="en-US" w:eastAsia="zh-CN"/>
        </w:rPr>
        <w:t xml:space="preserve">符合</w:t>
      </w:r>
      <w:r>
        <w:rPr>
          <w:rFonts w:hint="eastAsia" w:hAnsi="宋体" w:eastAsia="宋体"/>
          <w:b/>
          <w:bCs/>
          <w:sz w:val="32"/>
          <w:szCs w:val="32"/>
        </w:rPr>
        <w:t xml:space="preserve">性响应内容</w:t>
      </w:r>
      <w:r/>
    </w:p>
    <w:p>
      <w:pPr>
        <w:ind w:left="0" w:right="0" w:firstLine="482"/>
        <w:jc w:val="left"/>
        <w:keepLines w:val="0"/>
        <w:keepNext w:val="0"/>
        <w:pageBreakBefore w:val="0"/>
        <w:spacing w:line="500" w:lineRule="exact"/>
        <w:widowControl w:val="off"/>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一、项目概况</w:t>
      </w:r>
      <w:r/>
    </w:p>
    <w:tbl>
      <w:tblPr>
        <w:tblStyle w:val="702"/>
        <w:tblW w:w="887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7"/>
        <w:gridCol w:w="1578"/>
        <w:gridCol w:w="6583"/>
      </w:tblGrid>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项号</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内 容</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说 明 与 要 求</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射阳县人民法院保安服务项目。</w:t>
            </w:r>
            <w:r/>
          </w:p>
        </w:tc>
      </w:tr>
      <w:tr>
        <w:trPr>
          <w:trHeight w:val="51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服务地点</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射阳县晨光路2号</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服务规模</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射阳县人民法院保安服务项目，服务人数为24人。</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招标范围</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本招标书适于射阳县安保法院保安服务项目。</w:t>
            </w:r>
            <w:r/>
          </w:p>
        </w:tc>
      </w:tr>
      <w:tr>
        <w:trPr>
          <w:trHeight w:val="58"/>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质量要求</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质量标准合同，质量目标合格。</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服务时间</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具体时间以招标人通知为准。</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资金来源</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财政资金。</w:t>
            </w:r>
            <w:r/>
          </w:p>
        </w:tc>
      </w:tr>
      <w:tr>
        <w:trPr>
          <w:trHeight w:val="507"/>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其他说明 </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项目组成人员食宿自理，投标人应保证保安人员工资不低于2180元/人每月，并及时足额缴纳职工社会保险。如因乙方未按上述标准支付工资或未依法足额缴纳社会保险，导致职工投诉、劳动监察处理或对甲方造成不利影响的，全部由乙方承担责任，并赔偿甲方因此遭受的损失；甲方有权据此降低或拒付相关服务费用，直至解除合同并没收履约保证金。</w:t>
            </w:r>
            <w:r/>
          </w:p>
        </w:tc>
      </w:tr>
    </w:tbl>
    <w:p>
      <w:pPr>
        <w:ind w:left="0" w:right="0" w:firstLine="482"/>
        <w:jc w:val="left"/>
        <w:keepLines w:val="0"/>
        <w:keepNext w:val="0"/>
        <w:pageBreakBefore w:val="0"/>
        <w:spacing w:line="500" w:lineRule="exact"/>
        <w:widowControl w:val="off"/>
        <w:rPr>
          <w:rFonts w:hint="default"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二、项目需求</w:t>
      </w:r>
      <w:r/>
    </w:p>
    <w:p>
      <w:pPr>
        <w:ind w:left="0" w:right="0" w:firstLine="482"/>
        <w:jc w:val="left"/>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（一）安保工作人员的条件和要求</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1.项目负责人（保安队长）接受投标人和射阳县人民法院双重领导和管理。正常工作日驻场，必须保持24小时通讯畅通，处理与安全工作的相关事务；</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2.保安员要求：投标人向射阳县人民法院派驻保安人员24人，</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（1）年龄：女性55周岁以下；男性60周岁以下（根据采购单位实际需求，提供男、女安保服务人员各自数量）。</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（2）男性身高：1.65米及以上，女性身高1.58米以上。</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（3）保安员均需要五官端正，双眼裸眼视力0.6以上（矫正视力1.0以上），身体健康，无传染病，无残疾，无明显标记。</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（4）无违法犯罪记录，非人民法院失信被执行人。</w:t>
      </w:r>
      <w:r/>
    </w:p>
    <w:p>
      <w:pPr>
        <w:ind w:left="0" w:right="0" w:firstLine="482"/>
        <w:jc w:val="left"/>
        <w:keepLines w:val="0"/>
        <w:keepNext w:val="0"/>
        <w:pageBreakBefore w:val="0"/>
        <w:spacing w:line="500" w:lineRule="exact"/>
        <w:widowControl w:val="off"/>
        <w:rPr>
          <w:rFonts w:hint="default"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（5）持有保安员证。</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3.安保职责：安检值班、安全保卫、协助法警维护办公及审判区域的秩序, 院本部和法庭门卫须7*24小时值班。</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4．建立各项规章制度和岗位安全责任制，使安全工作有章可循。</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5.供应商须为所有参与本项目的服务人员提供保额不少于50万元/年的意外伤害险。</w:t>
      </w:r>
      <w:r/>
    </w:p>
    <w:p>
      <w:pPr>
        <w:ind w:left="0" w:right="0" w:firstLine="482"/>
        <w:jc w:val="left"/>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（二）出入口管理（核心防线）</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出入口是法院安全的 “第一道闸门”，保安需严格把控人员、车辆、物品的进出，防止无关人员或危险物品进入法院：</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1.人员核验：</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上班/下班时段，核对进出人员身份，禁止陌生人随意进入；对来访人员（需登记姓名、身份证号、来访事由，并经被访人员确认无误后放行。</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禁止无关人员（如推销人员、社会闲散人员）进入法院，对可疑人员进行盘问，必要时联系法院领导或公安机关。</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2.车辆管控：</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禁止机动车（除单位工车、应急车辆外）进入法院；允许进入的车辆限速（通常≤5km/h）并引导至指定停车区域。</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来访人员非机动车禁止进入法院，引导停放到指定区域。</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法院内按规定停放的车辆，均由安保人员负责安全管理，并严格执行《法院交通车辆管理规定》，若发生车辆丢失等责任事故，视乙方责任情况由乙方按一定比例进行赔偿。</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3.物品检查：</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对进入法院的包裹、行李等进行抽查，严禁携带易燃易爆物品（如打火机、酒精）、管制刀具（如水果刀、弹簧刀）、危险玩具（如仿真枪、弹弓）及其他违禁品；发现可疑物品立即隔离并上报。</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对出法院的物资必须有相关部门批条，并检查出门物资与批条允许出门物资是否一致，核实一致并登记后方可放行。</w:t>
      </w:r>
      <w:r/>
    </w:p>
    <w:p>
      <w:pPr>
        <w:ind w:left="0" w:right="0" w:firstLine="482"/>
        <w:jc w:val="left"/>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（三）法院内部巡逻防控</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通过定时、定点巡逻，及时发现并排除安全隐患，震慑潜在安全风险：</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1.巡逻路线与频次：</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明确巡视工作职责，规范巡视工作流程，制定相对固定的巡视路线。对重点区域、重点部位至少每3小时巡视一次并记录。对法庭内安全存在的隐患进行查找，及时报告不安全因素，并配合采购人进行整改。发现违法、违章行为应及时制止；</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巡视中发现各区域内的异常情况，应立即通知有关部门并在现场采取必要措施，随时准备启动相应的应急预案。</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2.隐患排查：</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检查法院设施安全：如门窗是否锁闭、围墙是否有破损（防止攀爬外出或外人进入）、运动器材是否存在安全隐患（如松动、锈蚀）。</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异常情况：如无人看管的可疑物品、未关闭的水龙头 / 电器、陌生人员翻越围墙等，发现问题立即处理（如制止冲突、上报维修、驱离可疑人员）。</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3.最小应急单元演练：</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以 “第一时间发现隐患苗头、第一时间控制风险扩大、第一时间处置常规可控事件” 为原则，实现 “1 分钟自救、3 分钟互救、5 分钟增援到位” 的目标。如在模拟 “歹徒” 企图强行闯入法院的场景中，执勤保安要在 1 分钟内迅速反应，利用防暴器械与 “歹徒” 展开周旋，并启动一键报警装置。</w:t>
      </w:r>
      <w:r/>
    </w:p>
    <w:p>
      <w:pPr>
        <w:ind w:left="0" w:right="0" w:firstLine="482"/>
        <w:jc w:val="left"/>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（四）相关大门管理、开关</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根据法院要求保管办公楼等大门钥匙，及时关锁相关大门，每次锁门前都要对办公楼进行“清场”检查，杜绝未经允许人员私自滞留，发现特殊情况及时与当天总值班报告。</w:t>
      </w:r>
      <w:r/>
    </w:p>
    <w:p>
      <w:pPr>
        <w:ind w:left="0" w:right="0" w:firstLine="482"/>
        <w:jc w:val="left"/>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（五）应急事件处置（快速响应）</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1.事件应对：</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若发生火灾，立即启动消防预案（如疏散人员、使用灭火器灭火、拨打 119）；若发生打架斗殴，迅速制止冲突，控制涉事人员，避免事态扩大，并上报法院行政部门，必要时联系公安机关。</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若遇自然灾害（如地震、暴雨），协助引导人员按应急预案疏散至安全区域，清点人数，确保无人员遗漏；若有人员受伤，协助进行初步救治并联系 120。</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服务区域内如发生被盗案件，保安应及时向公安机关报案，保护现场，积极协助公安机关侦破。</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2.安全事件上报：</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对处置后的事件（如安全事故、违纪行为），详细记录时间、地点、经过、涉事人员等信息，及时上报法院领导；重大事件（如人员伤亡、刑事案件）需第一时间报警（110、119、120），并配合相关部门调查。</w:t>
      </w:r>
      <w:r/>
    </w:p>
    <w:p>
      <w:pPr>
        <w:ind w:left="0" w:right="0" w:firstLine="482"/>
        <w:jc w:val="left"/>
        <w:keepLines w:val="0"/>
        <w:keepNext w:val="0"/>
        <w:pageBreakBefore w:val="0"/>
        <w:spacing w:line="500" w:lineRule="exact"/>
        <w:widowControl w:val="off"/>
        <w:rPr>
          <w:rFonts w:hint="default"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三、其他服务要求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1、安保服务合同终止时，中标单位应当将安保服务用房和所有台账资料、档案完整地移交采购人。乙方未按约定时间、标准完成移交工作的，甲方有权暂缓支付未结清服务费用和/或不予退还履约保证金，直至移交工作完成；因移交不完整、不及时导致甲方无法正常开展后续安保工作或被有关部门追责的，乙方应承担全部责任并赔偿甲方因此遭受的全部损失。</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2、安保服务合同终止时，采购人选聘了新的安保服务企业后，中标单位应当做好交接工作。</w:t>
      </w:r>
      <w:r/>
    </w:p>
    <w:p>
      <w:pPr>
        <w:ind w:left="0" w:right="0" w:firstLine="482"/>
        <w:jc w:val="left"/>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3、未尽事宜，按国家和地方最新《保安服务管理条例》及相关规定执行，有冲突处，按高标准执行。</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四、合同履行期限及地点：</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合同履行期限：合同签订后三天内人员安排到位,自合同签订之日起，服务期限三年（合同按年度签订，一年一签）。</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备注：中标单位在合同期内通过采购人的季度考核，平均分达90分以上的，可续签下一年度合同，总服务期限不超过三年；考核平均分未达标的，本项目合同终止，采购人方依法采取招标方式重新确定服务单位。考核办法详见附件1。</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地点：采购方指定地点。</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五、付款方式: </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合同签订时，经采购人与中标人根据实际情况协商一致，可支付当年年度合同总价的30%作为项目启动预付款；</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服务费的支付采用按月考核，三个月支付一次，即采购人于每月15日前对上月的工作进行考核，经考核合格后，服务每满三个月支付一次费用。满一年付清。</w:t>
      </w:r>
      <w:r/>
    </w:p>
    <w:p>
      <w:pPr>
        <w:pStyle w:val="905"/>
        <w:ind w:firstLine="560"/>
        <w:rPr>
          <w:rFonts w:hint="eastAsia" w:hAnsi="宋体" w:cs="Times New Roman"/>
          <w:sz w:val="28"/>
          <w:szCs w:val="28"/>
        </w:rPr>
      </w:pPr>
      <w:r>
        <w:rPr>
          <w:rFonts w:hint="eastAsia" w:hAnsi="宋体" w:cs="Times New Roman"/>
          <w:sz w:val="28"/>
          <w:szCs w:val="28"/>
        </w:rPr>
      </w:r>
      <w:r/>
    </w:p>
    <w:p>
      <w:pPr>
        <w:pStyle w:val="905"/>
        <w:ind w:firstLine="560"/>
        <w:rPr>
          <w:rFonts w:hAnsi="宋体" w:cs="Times New Roman"/>
          <w:sz w:val="28"/>
          <w:szCs w:val="28"/>
        </w:rPr>
      </w:pPr>
      <w:r>
        <w:rPr>
          <w:rFonts w:hint="eastAsia" w:hAnsi="宋体" w:cs="Times New Roman"/>
          <w:sz w:val="28"/>
          <w:szCs w:val="28"/>
        </w:rPr>
        <w:t xml:space="preserve">我公司承诺响应上述项目需求内容。</w:t>
      </w:r>
      <w:r/>
    </w:p>
    <w:p>
      <w:pPr>
        <w:ind w:firstLine="3780"/>
        <w:spacing w:line="560" w:lineRule="exact"/>
        <w:rPr>
          <w:rFonts w:hint="eastAsia" w:hAnsi="宋体" w:cs="Times New Roman" w:asciiTheme="minorHAnsi" w:eastAsiaTheme="minorEastAsia"/>
          <w:bCs/>
          <w:sz w:val="28"/>
          <w:szCs w:val="24"/>
          <w:lang w:val="en-US" w:eastAsia="zh-CN" w:bidi="ar-SA"/>
        </w:rPr>
      </w:pPr>
      <w:r>
        <w:rPr>
          <w:rFonts w:hint="eastAsia" w:hAnsi="宋体" w:cs="Times New Roman" w:asciiTheme="minorHAnsi" w:eastAsiaTheme="minorEastAsia"/>
          <w:bCs/>
          <w:sz w:val="28"/>
          <w:szCs w:val="24"/>
          <w:lang w:val="en-US" w:eastAsia="zh-CN" w:bidi="ar-SA"/>
        </w:rPr>
        <w:t xml:space="preserve">投标人（加盖CA电子签章）：</w:t>
      </w:r>
      <w:r/>
    </w:p>
    <w:p>
      <w:pPr>
        <w:ind w:firstLine="3780"/>
        <w:spacing w:line="560" w:lineRule="exact"/>
        <w:rPr>
          <w:rFonts w:hint="eastAsia" w:hAnsi="宋体" w:cs="Times New Roman" w:asciiTheme="minorHAnsi" w:eastAsiaTheme="minorEastAsia"/>
          <w:bCs/>
          <w:sz w:val="28"/>
          <w:szCs w:val="24"/>
          <w:lang w:val="en-US" w:eastAsia="zh-CN" w:bidi="ar-SA"/>
        </w:rPr>
      </w:pPr>
      <w:r>
        <w:rPr>
          <w:rFonts w:hint="eastAsia" w:hAnsi="宋体" w:cs="Times New Roman" w:asciiTheme="minorHAnsi" w:eastAsiaTheme="minorEastAsia"/>
          <w:bCs/>
          <w:sz w:val="28"/>
          <w:szCs w:val="24"/>
          <w:lang w:val="en-US" w:eastAsia="zh-CN" w:bidi="ar-SA"/>
        </w:rPr>
      </w:r>
      <w:r/>
    </w:p>
    <w:p>
      <w:pPr>
        <w:pStyle w:val="729"/>
        <w:jc w:val="center"/>
        <w:spacing w:beforeAutospacing="0" w:afterAutospacing="0"/>
      </w:pPr>
      <w:r>
        <w:rPr>
          <w:rFonts w:hint="eastAsia" w:hAnsi="宋体" w:eastAsia="宋体"/>
          <w:bCs/>
          <w:sz w:val="28"/>
          <w:lang w:val="en-US" w:eastAsia="zh-CN"/>
        </w:rPr>
        <w:t xml:space="preserve">                 </w:t>
      </w: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t xml:space="preserve"> </w:t>
      </w:r>
      <w:r/>
    </w:p>
    <w:p>
      <w:pPr>
        <w:pStyle w:val="729"/>
        <w:jc w:val="center"/>
        <w:spacing w:beforeAutospacing="0" w:afterAutospacing="0"/>
      </w:pPr>
      <w:r>
        <w:t xml:space="preserve"> </w:t>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t xml:space="preserve"> </w:t>
      </w:r>
      <w:r/>
    </w:p>
    <w:p>
      <w:pPr>
        <w:pStyle w:val="729"/>
        <w:jc w:val="center"/>
        <w:spacing w:beforeAutospacing="0" w:afterAutospacing="0"/>
      </w:pPr>
      <w:r/>
      <w:r/>
    </w:p>
    <w:p>
      <w:pPr>
        <w:pStyle w:val="729"/>
        <w:jc w:val="center"/>
        <w:spacing w:beforeAutospacing="0" w:afterAutospacing="0"/>
        <w:rPr>
          <w:rFonts w:hint="eastAsia" w:ascii="Arial" w:hAnsi="宋体" w:eastAsia="宋体" w:cs="Arial"/>
          <w:b/>
          <w:bCs/>
          <w:sz w:val="32"/>
          <w:szCs w:val="32"/>
          <w:lang w:val="en-US" w:eastAsia="zh-CN" w:bidi="ar-SA"/>
        </w:rPr>
      </w:pPr>
      <w:r>
        <w:rPr>
          <w:rFonts w:hint="eastAsia" w:ascii="Arial" w:hAnsi="宋体" w:eastAsia="宋体" w:cs="Arial"/>
          <w:b/>
          <w:bCs/>
          <w:sz w:val="32"/>
          <w:szCs w:val="32"/>
          <w:lang w:val="en-US" w:eastAsia="zh-CN" w:bidi="ar-SA"/>
        </w:rPr>
        <w:t xml:space="preserve">承诺函（未提供承诺函作为无效投标人处理）</w:t>
      </w:r>
      <w:r/>
    </w:p>
    <w:p>
      <w:pPr>
        <w:pStyle w:val="729"/>
        <w:jc w:val="center"/>
        <w:spacing w:beforeAutospacing="0" w:afterAutospacing="0"/>
        <w:rPr>
          <w:rFonts w:hint="eastAsia" w:ascii="Arial" w:hAnsi="宋体" w:eastAsia="宋体" w:cs="Arial"/>
          <w:b/>
          <w:bCs/>
          <w:sz w:val="32"/>
          <w:szCs w:val="32"/>
          <w:lang w:val="en-US" w:eastAsia="zh-CN" w:bidi="ar-SA"/>
        </w:rPr>
      </w:pPr>
      <w:r>
        <w:rPr>
          <w:rFonts w:hint="eastAsia" w:ascii="Arial" w:hAnsi="宋体" w:eastAsia="宋体" w:cs="Arial"/>
          <w:b/>
          <w:bCs/>
          <w:sz w:val="32"/>
          <w:szCs w:val="32"/>
          <w:lang w:val="en-US" w:eastAsia="zh-CN" w:bidi="ar-SA"/>
        </w:rPr>
      </w:r>
      <w:r/>
    </w:p>
    <w:p>
      <w:pPr>
        <w:pStyle w:val="729"/>
        <w:jc w:val="both"/>
        <w:spacing w:beforeAutospacing="0" w:afterAutospacing="0" w:line="360" w:lineRule="auto"/>
        <w:rPr>
          <w:rFonts w:hint="eastAsia" w:hAnsi="宋体" w:eastAsia="宋体"/>
          <w:iCs/>
          <w:sz w:val="30"/>
          <w:szCs w:val="30"/>
          <w:lang w:val="en-US" w:eastAsia="zh-CN"/>
        </w:rPr>
      </w:pPr>
      <w:r>
        <w:rPr>
          <w:rFonts w:hint="eastAsia" w:hAnsi="宋体" w:eastAsia="宋体"/>
          <w:iCs/>
          <w:sz w:val="30"/>
          <w:szCs w:val="30"/>
          <w:lang w:val="en-US" w:eastAsia="zh-CN"/>
        </w:rPr>
        <w:t xml:space="preserve">投标人须在响应文件中承诺：</w:t>
      </w:r>
      <w:r/>
    </w:p>
    <w:p>
      <w:pPr>
        <w:pStyle w:val="729"/>
        <w:jc w:val="center"/>
        <w:spacing w:beforeAutospacing="0" w:afterAutospacing="0" w:line="360" w:lineRule="auto"/>
        <w:rPr>
          <w:sz w:val="30"/>
          <w:szCs w:val="30"/>
        </w:rPr>
      </w:pPr>
      <w:r>
        <w:rPr>
          <w:rFonts w:hint="eastAsia" w:hAnsi="宋体" w:eastAsia="宋体"/>
          <w:iCs/>
          <w:sz w:val="30"/>
          <w:szCs w:val="30"/>
          <w:u w:val="single"/>
          <w:lang w:val="en-US" w:eastAsia="zh-CN"/>
        </w:rPr>
        <w:t xml:space="preserve">我公司在签订合同前向采购单位提供盐城市公安局备案记录材料</w:t>
      </w:r>
      <w:r>
        <w:rPr>
          <w:rFonts w:hint="eastAsia" w:hAnsi="宋体" w:eastAsia="宋体"/>
          <w:iCs/>
          <w:sz w:val="30"/>
          <w:szCs w:val="30"/>
          <w:lang w:val="en-US" w:eastAsia="zh-CN"/>
        </w:rPr>
        <w:t xml:space="preserve">。</w:t>
      </w:r>
      <w:r>
        <w:rPr>
          <w:sz w:val="30"/>
          <w:szCs w:val="30"/>
        </w:rPr>
        <w:t xml:space="preserve"> </w:t>
      </w:r>
      <w:r/>
    </w:p>
    <w:p>
      <w:pPr>
        <w:pStyle w:val="729"/>
        <w:jc w:val="center"/>
        <w:spacing w:beforeAutospacing="0" w:afterAutospacing="0"/>
      </w:pPr>
      <w:r>
        <w:t xml:space="preserve"> </w:t>
      </w:r>
      <w:r/>
    </w:p>
    <w:p>
      <w:pPr>
        <w:ind w:firstLine="3780"/>
        <w:spacing w:line="560" w:lineRule="exact"/>
        <w:rPr>
          <w:rFonts w:hint="eastAsia" w:hAnsi="宋体" w:cs="Times New Roman" w:asciiTheme="minorHAnsi" w:eastAsiaTheme="minorEastAsia"/>
          <w:bCs/>
          <w:sz w:val="28"/>
          <w:szCs w:val="24"/>
          <w:lang w:val="en-US" w:eastAsia="zh-CN" w:bidi="ar-SA"/>
        </w:rPr>
      </w:pPr>
      <w:r>
        <w:rPr>
          <w:rFonts w:hint="eastAsia" w:hAnsi="宋体" w:cs="Times New Roman" w:asciiTheme="minorHAnsi" w:eastAsiaTheme="minorEastAsia"/>
          <w:bCs/>
          <w:sz w:val="28"/>
          <w:szCs w:val="24"/>
          <w:lang w:val="en-US" w:eastAsia="zh-CN" w:bidi="ar-SA"/>
        </w:rPr>
        <w:t xml:space="preserve">投标人（加盖CA电子签章）：</w:t>
      </w:r>
      <w:r/>
    </w:p>
    <w:p>
      <w:pPr>
        <w:ind w:firstLine="3780"/>
        <w:spacing w:line="560" w:lineRule="exact"/>
        <w:rPr>
          <w:rFonts w:hint="eastAsia" w:hAnsi="宋体" w:cs="Times New Roman" w:asciiTheme="minorHAnsi" w:eastAsiaTheme="minorEastAsia"/>
          <w:bCs/>
          <w:sz w:val="28"/>
          <w:szCs w:val="24"/>
          <w:lang w:val="en-US" w:eastAsia="zh-CN" w:bidi="ar-SA"/>
        </w:rPr>
      </w:pPr>
      <w:r>
        <w:rPr>
          <w:rFonts w:hint="eastAsia" w:hAnsi="宋体" w:cs="Times New Roman" w:asciiTheme="minorHAnsi" w:eastAsiaTheme="minorEastAsia"/>
          <w:bCs/>
          <w:sz w:val="28"/>
          <w:szCs w:val="24"/>
          <w:lang w:val="en-US" w:eastAsia="zh-CN" w:bidi="ar-SA"/>
        </w:rPr>
      </w:r>
      <w:r/>
    </w:p>
    <w:p>
      <w:pPr>
        <w:pStyle w:val="729"/>
        <w:jc w:val="center"/>
        <w:spacing w:beforeAutospacing="0" w:afterAutospacing="0"/>
      </w:pPr>
      <w:r>
        <w:rPr>
          <w:rFonts w:hint="eastAsia" w:hAnsi="宋体" w:eastAsia="宋体"/>
          <w:bCs/>
          <w:sz w:val="28"/>
          <w:lang w:val="en-US" w:eastAsia="zh-CN"/>
        </w:rPr>
        <w:t xml:space="preserve">                 </w:t>
      </w: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t xml:space="preserve"> </w:t>
      </w:r>
      <w:r/>
    </w:p>
    <w:p>
      <w:pPr>
        <w:pStyle w:val="729"/>
        <w:jc w:val="center"/>
        <w:spacing w:beforeAutospacing="0" w:afterAutospacing="0"/>
      </w:pPr>
      <w:r>
        <w:t xml:space="preserve"> </w:t>
      </w:r>
      <w:r/>
    </w:p>
    <w:p>
      <w:pPr>
        <w:rPr>
          <w:rFonts w:ascii="宋体" w:hAnsi="宋体" w:eastAsia="宋体" w:cs="宋体"/>
          <w:color w:val="000000"/>
          <w:sz w:val="32"/>
          <w:szCs w:val="32"/>
        </w:rPr>
      </w:pPr>
      <w:r>
        <w:rPr>
          <w:rFonts w:ascii="宋体" w:hAnsi="宋体" w:eastAsia="宋体" w:cs="宋体"/>
          <w:color w:val="000000"/>
          <w:sz w:val="32"/>
          <w:szCs w:val="32"/>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lang w:val="en-US" w:eastAsia="zh-CN"/>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五</w:t>
      </w:r>
      <w:r>
        <w:rPr>
          <w:rFonts w:hint="eastAsia" w:ascii="黑体" w:hAnsi="宋体" w:eastAsia="黑体" w:cs="黑体"/>
          <w:i w:val="0"/>
          <w:iCs/>
          <w:color w:val="000000"/>
          <w:sz w:val="32"/>
          <w:szCs w:val="32"/>
          <w:u w:val="none"/>
        </w:rPr>
        <w:t xml:space="preserve">、服务</w:t>
      </w:r>
      <w:r>
        <w:rPr>
          <w:rFonts w:hint="eastAsia" w:ascii="黑体" w:hAnsi="宋体" w:eastAsia="黑体" w:cs="黑体"/>
          <w:i w:val="0"/>
          <w:iCs/>
          <w:color w:val="000000"/>
          <w:sz w:val="32"/>
          <w:szCs w:val="32"/>
          <w:u w:val="none"/>
          <w:lang w:val="en-US" w:eastAsia="zh-CN"/>
        </w:rPr>
        <w:t xml:space="preserve">方案</w:t>
      </w:r>
      <w:r>
        <w:rPr>
          <w:rFonts w:hint="eastAsia" w:ascii="黑体" w:hAnsi="宋体" w:eastAsia="黑体" w:cs="黑体"/>
          <w:i w:val="0"/>
          <w:iCs/>
          <w:color w:val="000000"/>
          <w:sz w:val="32"/>
          <w:szCs w:val="32"/>
          <w:u w:val="none"/>
        </w:rPr>
        <w:t xml:space="preserve">、</w:t>
      </w:r>
      <w:r>
        <w:rPr>
          <w:rFonts w:hint="eastAsia" w:ascii="黑体" w:hAnsi="宋体" w:eastAsia="黑体" w:cs="黑体"/>
          <w:i w:val="0"/>
          <w:iCs/>
          <w:color w:val="000000"/>
          <w:sz w:val="32"/>
          <w:szCs w:val="32"/>
          <w:u w:val="none"/>
          <w:lang w:val="en-US" w:eastAsia="zh-CN"/>
        </w:rPr>
        <w:t xml:space="preserve">业绩</w:t>
      </w:r>
      <w:r>
        <w:rPr>
          <w:rFonts w:hint="eastAsia" w:ascii="黑体" w:hAnsi="宋体" w:eastAsia="黑体" w:cs="黑体"/>
          <w:i w:val="0"/>
          <w:iCs/>
          <w:color w:val="000000"/>
          <w:sz w:val="32"/>
          <w:szCs w:val="32"/>
          <w:u w:val="none"/>
        </w:rPr>
        <w:t xml:space="preserve">等</w:t>
      </w:r>
      <w:r>
        <w:rPr>
          <w:rFonts w:hint="eastAsia" w:ascii="黑体" w:hAnsi="宋体" w:eastAsia="黑体" w:cs="黑体"/>
          <w:i w:val="0"/>
          <w:iCs/>
          <w:color w:val="000000"/>
          <w:sz w:val="32"/>
          <w:szCs w:val="32"/>
          <w:u w:val="none"/>
          <w:lang w:val="en-US" w:eastAsia="zh-CN"/>
        </w:rPr>
        <w:t xml:space="preserve">材料</w:t>
      </w:r>
      <w:r/>
    </w:p>
    <w:p>
      <w:pPr>
        <w:pStyle w:val="729"/>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六</w:t>
      </w:r>
      <w:r>
        <w:rPr>
          <w:rFonts w:hint="eastAsia" w:ascii="黑体" w:hAnsi="宋体" w:eastAsia="黑体" w:cs="黑体"/>
          <w:i w:val="0"/>
          <w:iCs/>
          <w:color w:val="000000"/>
          <w:sz w:val="32"/>
          <w:szCs w:val="32"/>
          <w:u w:val="none"/>
        </w:rPr>
        <w:t xml:space="preserve">、盐城市政府采购事前信用承诺书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w:t>
      </w:r>
      <w:r/>
    </w:p>
    <w:p>
      <w:pPr>
        <w:ind w:firstLine="57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729"/>
        <w:jc w:val="center"/>
        <w:spacing w:beforeAutospacing="0" w:afterAutospacing="0"/>
      </w:pPr>
      <w:r/>
      <w:r/>
    </w:p>
    <w:p>
      <w:r/>
      <w:r/>
    </w:p>
    <w:p>
      <w:r/>
      <w:r/>
    </w:p>
    <w:p>
      <w:pPr>
        <w:pStyle w:val="72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一、质疑供应商基本信息</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二、质疑项目基本情况</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三、质疑事项具体内容</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29"/>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质疑事项2</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四、与质疑事项相关的质疑请求</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签字(签章)：                 公章：               日期：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b/>
          <w:color w:val="000000"/>
        </w:rPr>
        <w:t xml:space="preserve">质疑函制作说明：</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29"/>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pPr>
        <w:pStyle w:val="729"/>
        <w:ind w:firstLine="420"/>
        <w:jc w:val="both"/>
        <w:spacing w:beforeAutospacing="0" w:afterAutospacing="0"/>
      </w:pPr>
      <w:r>
        <w:t xml:space="preserve"> </w:t>
      </w:r>
      <w:bookmarkEnd w:id="6"/>
      <w:r/>
      <w:bookmarkEnd w:id="40"/>
      <w:r/>
      <w:bookmarkEnd w:id="87"/>
      <w:r/>
      <w:bookmarkEnd w:id="88"/>
      <w:r/>
      <w:bookmarkEnd w:id="89"/>
      <w:r/>
      <w:bookmarkEnd w:id="90"/>
      <w:r/>
      <w:bookmarkEnd w:id="91"/>
      <w:r/>
      <w:bookmarkEnd w:id="92"/>
      <w:r/>
      <w:bookmarkEnd w:id="93"/>
      <w:r/>
      <w:bookmarkEnd w:id="94"/>
      <w:r/>
      <w:bookmarkEnd w:id="103"/>
      <w:r/>
      <w:bookmarkEnd w:id="104"/>
      <w:r/>
      <w:bookmarkEnd w:id="111"/>
      <w:r/>
      <w:bookmarkEnd w:id="165"/>
      <w:r/>
      <w:bookmarkEnd w:id="166"/>
      <w:r/>
      <w:bookmarkEnd w:id="175"/>
      <w:r/>
      <w:bookmarkEnd w:id="176"/>
      <w:r/>
      <w:bookmarkEnd w:id="177"/>
      <w:r/>
      <w:bookmarkEnd w:id="178"/>
      <w:r/>
      <w:bookmarkEnd w:id="179"/>
      <w:r/>
      <w:bookmarkEnd w:id="180"/>
      <w:r/>
      <w:bookmarkEnd w:id="181"/>
      <w:r/>
      <w:bookmarkEnd w:id="183"/>
      <w:r/>
      <w:bookmarkEnd w:id="184"/>
      <w:r/>
      <w:bookmarkEnd w:id="185"/>
      <w:r/>
      <w:bookmarkEnd w:id="186"/>
      <w:r/>
      <w:bookmarkEnd w:id="187"/>
      <w:r/>
      <w:bookmarkEnd w:id="188"/>
      <w:r/>
      <w:r/>
    </w:p>
    <w:p>
      <w:r/>
      <w:r/>
    </w:p>
    <w:p>
      <w:r/>
      <w:r/>
    </w:p>
    <w:p>
      <w:pPr>
        <w:pStyle w:val="692"/>
      </w:pPr>
      <w:r/>
      <w:r/>
    </w:p>
    <w:p>
      <w:r/>
      <w:r/>
    </w:p>
    <w:p>
      <w:pPr>
        <w:pStyle w:val="692"/>
      </w:pPr>
      <w:r/>
      <w:r/>
    </w:p>
    <w:p>
      <w:r/>
      <w:r/>
    </w:p>
    <w:p>
      <w:pPr>
        <w:pStyle w:val="692"/>
      </w:pPr>
      <w:r/>
      <w:r/>
    </w:p>
    <w:p>
      <w:r/>
      <w:r/>
    </w:p>
    <w:p>
      <w:pPr>
        <w:pStyle w:val="692"/>
      </w:pPr>
      <w:r/>
      <w:r/>
    </w:p>
    <w:p>
      <w:r/>
      <w:r/>
    </w:p>
    <w:p>
      <w:pPr>
        <w:pStyle w:val="692"/>
      </w:pPr>
      <w:r/>
      <w:r/>
    </w:p>
    <w:p>
      <w:r/>
      <w:r/>
    </w:p>
    <w:p>
      <w:r/>
      <w:r/>
    </w:p>
    <w:sectPr>
      <w:footerReference w:type="default" r:id="rId11"/>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等线">
    <w:panose1 w:val="02010600030101010101"/>
  </w:font>
  <w:font w:name="仿宋">
    <w:panose1 w:val="02010609060101010101"/>
  </w:font>
  <w:font w:name="楷体_GB2312">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rPr>
        <w:rFonts w:hint="eastAsia" w:eastAsiaTheme="minorEastAsia"/>
        <w:lang w:val="en-US" w:eastAsia="zh-CN"/>
      </w:rPr>
    </w:pPr>
    <w:r>
      <w:rPr>
        <w:rFonts w:hint="eastAsia" w:eastAsiaTheme="minorEastAsia"/>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rPr>
        <w:rFonts w:hint="eastAsia" w:eastAsiaTheme="minorEastAsia"/>
        <w:lang w:val="en-US" w:eastAsia="zh-CN"/>
      </w:rPr>
    </w:pPr>
    <w:r>
      <w:rPr>
        <w:rFonts w:hint="default"/>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2">
    <w:name w:val="Heading 1"/>
    <w:basedOn w:val="691"/>
    <w:next w:val="691"/>
    <w:link w:val="743"/>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94">
    <w:name w:val="Heading 3"/>
    <w:basedOn w:val="691"/>
    <w:next w:val="691"/>
    <w:link w:val="745"/>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46"/>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47"/>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48"/>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50"/>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51"/>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right="0" w:firstLine="0"/>
      <w:spacing w:after="57"/>
    </w:pPr>
  </w:style>
  <w:style w:type="paragraph" w:styleId="704">
    <w:name w:val="Note Heading"/>
    <w:basedOn w:val="691"/>
    <w:next w:val="691"/>
    <w:uiPriority w:val="0"/>
    <w:qFormat/>
    <w:rPr>
      <w:rFonts w:ascii="Verdana" w:hAnsi="Verdana"/>
      <w:szCs w:val="20"/>
    </w:rPr>
  </w:style>
  <w:style w:type="paragraph" w:styleId="705">
    <w:name w:val="Normal Indent"/>
    <w:basedOn w:val="691"/>
    <w:next w:val="706"/>
    <w:uiPriority w:val="0"/>
    <w:qFormat/>
    <w:pPr>
      <w:ind w:firstLine="420"/>
    </w:pPr>
    <w:rPr>
      <w:sz w:val="24"/>
    </w:rPr>
  </w:style>
  <w:style w:type="paragraph" w:styleId="706">
    <w:name w:val="Body Text 2"/>
    <w:basedOn w:val="691"/>
    <w:uiPriority w:val="0"/>
    <w:qFormat/>
    <w:pPr>
      <w:spacing w:after="120" w:line="480" w:lineRule="auto"/>
    </w:pPr>
  </w:style>
  <w:style w:type="paragraph" w:styleId="707">
    <w:name w:val="Caption"/>
    <w:basedOn w:val="691"/>
    <w:next w:val="69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8">
    <w:name w:val="annotation text"/>
    <w:basedOn w:val="691"/>
    <w:uiPriority w:val="0"/>
    <w:qFormat/>
    <w:pPr>
      <w:jc w:val="left"/>
    </w:pPr>
  </w:style>
  <w:style w:type="paragraph" w:styleId="709">
    <w:name w:val="Body Text"/>
    <w:basedOn w:val="691"/>
    <w:next w:val="691"/>
    <w:uiPriority w:val="0"/>
    <w:qFormat/>
    <w:pPr>
      <w:spacing w:after="120"/>
    </w:pPr>
  </w:style>
  <w:style w:type="paragraph" w:styleId="710">
    <w:name w:val="Body Text Indent"/>
    <w:basedOn w:val="691"/>
    <w:next w:val="711"/>
    <w:uiPriority w:val="0"/>
    <w:qFormat/>
    <w:pPr>
      <w:ind w:firstLine="645"/>
    </w:pPr>
    <w:rPr>
      <w:rFonts w:ascii="楷体_GB2312" w:eastAsia="楷体_GB2312"/>
      <w:sz w:val="32"/>
      <w:szCs w:val="32"/>
    </w:rPr>
  </w:style>
  <w:style w:type="paragraph" w:styleId="711">
    <w:name w:val="envelope return"/>
    <w:basedOn w:val="691"/>
    <w:uiPriority w:val="99"/>
    <w:qFormat/>
    <w:rPr>
      <w:rFonts w:ascii="Arial" w:hAnsi="Arial" w:cs="Arial"/>
    </w:rPr>
  </w:style>
  <w:style w:type="paragraph" w:styleId="712">
    <w:name w:val="Block Text"/>
    <w:basedOn w:val="691"/>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713">
    <w:name w:val="toc 5"/>
    <w:basedOn w:val="691"/>
    <w:next w:val="691"/>
    <w:uiPriority w:val="39"/>
    <w:unhideWhenUsed/>
    <w:qFormat/>
    <w:pPr>
      <w:ind w:left="1134" w:right="0" w:firstLine="0"/>
      <w:spacing w:after="57"/>
    </w:pPr>
  </w:style>
  <w:style w:type="paragraph" w:styleId="714">
    <w:name w:val="toc 3"/>
    <w:basedOn w:val="691"/>
    <w:next w:val="691"/>
    <w:uiPriority w:val="39"/>
    <w:unhideWhenUsed/>
    <w:qFormat/>
    <w:pPr>
      <w:ind w:left="567" w:right="0" w:firstLine="0"/>
      <w:spacing w:after="57"/>
    </w:pPr>
  </w:style>
  <w:style w:type="paragraph" w:styleId="715">
    <w:name w:val="Plain Text"/>
    <w:basedOn w:val="691"/>
    <w:uiPriority w:val="0"/>
    <w:qFormat/>
    <w:rPr>
      <w:rFonts w:hAnsi="Courier New"/>
      <w:sz w:val="21"/>
    </w:rPr>
  </w:style>
  <w:style w:type="paragraph" w:styleId="716">
    <w:name w:val="toc 8"/>
    <w:basedOn w:val="691"/>
    <w:next w:val="691"/>
    <w:uiPriority w:val="39"/>
    <w:unhideWhenUsed/>
    <w:qFormat/>
    <w:pPr>
      <w:ind w:left="1984" w:right="0" w:firstLine="0"/>
      <w:spacing w:after="57"/>
    </w:pPr>
  </w:style>
  <w:style w:type="paragraph" w:styleId="717">
    <w:name w:val="endnote text"/>
    <w:basedOn w:val="691"/>
    <w:link w:val="889"/>
    <w:uiPriority w:val="99"/>
    <w:semiHidden/>
    <w:unhideWhenUsed/>
    <w:qFormat/>
    <w:pPr>
      <w:spacing w:after="0" w:line="240" w:lineRule="auto"/>
    </w:pPr>
    <w:rPr>
      <w:sz w:val="20"/>
    </w:rPr>
  </w:style>
  <w:style w:type="paragraph" w:styleId="718">
    <w:name w:val="Footer"/>
    <w:basedOn w:val="691"/>
    <w:link w:val="894"/>
    <w:uiPriority w:val="0"/>
    <w:qFormat/>
    <w:pPr>
      <w:jc w:val="left"/>
      <w:tabs>
        <w:tab w:val="center" w:pos="4153" w:leader="none"/>
        <w:tab w:val="right" w:pos="8306" w:leader="none"/>
      </w:tabs>
    </w:pPr>
    <w:rPr>
      <w:sz w:val="18"/>
      <w:szCs w:val="18"/>
    </w:rPr>
  </w:style>
  <w:style w:type="paragraph" w:styleId="719">
    <w:name w:val="Header"/>
    <w:basedOn w:val="691"/>
    <w:link w:val="893"/>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91"/>
    <w:next w:val="691"/>
    <w:uiPriority w:val="39"/>
    <w:unhideWhenUsed/>
    <w:qFormat/>
    <w:pPr>
      <w:ind w:left="0" w:right="0" w:firstLine="0"/>
      <w:spacing w:after="57"/>
    </w:pPr>
  </w:style>
  <w:style w:type="paragraph" w:styleId="721">
    <w:name w:val="toc 4"/>
    <w:basedOn w:val="691"/>
    <w:next w:val="691"/>
    <w:uiPriority w:val="39"/>
    <w:unhideWhenUsed/>
    <w:qFormat/>
    <w:pPr>
      <w:ind w:left="850" w:right="0" w:firstLine="0"/>
      <w:spacing w:after="57"/>
    </w:pPr>
  </w:style>
  <w:style w:type="paragraph" w:styleId="722">
    <w:name w:val="Subtitle"/>
    <w:basedOn w:val="691"/>
    <w:next w:val="691"/>
    <w:link w:val="755"/>
    <w:uiPriority w:val="11"/>
    <w:qFormat/>
    <w:pPr>
      <w:spacing w:before="200" w:after="200"/>
    </w:pPr>
    <w:rPr>
      <w:sz w:val="24"/>
      <w:szCs w:val="24"/>
    </w:rPr>
  </w:style>
  <w:style w:type="paragraph" w:styleId="723">
    <w:name w:val="footnote text"/>
    <w:basedOn w:val="691"/>
    <w:link w:val="888"/>
    <w:uiPriority w:val="99"/>
    <w:semiHidden/>
    <w:unhideWhenUsed/>
    <w:qFormat/>
    <w:pPr>
      <w:spacing w:after="40" w:line="240" w:lineRule="auto"/>
    </w:pPr>
    <w:rPr>
      <w:sz w:val="18"/>
    </w:rPr>
  </w:style>
  <w:style w:type="paragraph" w:styleId="724">
    <w:name w:val="toc 6"/>
    <w:basedOn w:val="691"/>
    <w:next w:val="691"/>
    <w:uiPriority w:val="39"/>
    <w:unhideWhenUsed/>
    <w:qFormat/>
    <w:pPr>
      <w:ind w:left="1417" w:right="0" w:firstLine="0"/>
      <w:spacing w:after="57"/>
    </w:pPr>
  </w:style>
  <w:style w:type="paragraph" w:styleId="725">
    <w:name w:val="Body Text Indent 3"/>
    <w:basedOn w:val="691"/>
    <w:uiPriority w:val="0"/>
    <w:qFormat/>
    <w:pPr>
      <w:ind w:left="645" w:firstLine="645"/>
    </w:pPr>
    <w:rPr>
      <w:rFonts w:ascii="Arial" w:hAnsi="Arial" w:eastAsia="仿宋_GB2312" w:cs="Arial"/>
      <w:color w:val="ffff00"/>
      <w:sz w:val="32"/>
      <w:szCs w:val="32"/>
    </w:rPr>
  </w:style>
  <w:style w:type="paragraph" w:styleId="726">
    <w:name w:val="table of figures"/>
    <w:basedOn w:val="691"/>
    <w:next w:val="691"/>
    <w:uiPriority w:val="99"/>
    <w:unhideWhenUsed/>
    <w:qFormat/>
    <w:pPr>
      <w:spacing w:after="0" w:afterAutospacing="0"/>
    </w:pPr>
  </w:style>
  <w:style w:type="paragraph" w:styleId="727">
    <w:name w:val="toc 2"/>
    <w:basedOn w:val="691"/>
    <w:next w:val="691"/>
    <w:uiPriority w:val="39"/>
    <w:unhideWhenUsed/>
    <w:qFormat/>
    <w:pPr>
      <w:ind w:left="283" w:right="0" w:firstLine="0"/>
      <w:spacing w:after="57"/>
    </w:pPr>
  </w:style>
  <w:style w:type="paragraph" w:styleId="728">
    <w:name w:val="toc 9"/>
    <w:basedOn w:val="691"/>
    <w:next w:val="691"/>
    <w:uiPriority w:val="39"/>
    <w:unhideWhenUsed/>
    <w:qFormat/>
    <w:pPr>
      <w:ind w:left="2268" w:right="0" w:firstLine="0"/>
      <w:spacing w:after="57"/>
    </w:pPr>
  </w:style>
  <w:style w:type="paragraph" w:styleId="729">
    <w:name w:val="Normal (Web)"/>
    <w:basedOn w:val="691"/>
    <w:uiPriority w:val="0"/>
    <w:qFormat/>
    <w:pPr>
      <w:jc w:val="left"/>
      <w:spacing w:beforeAutospacing="1" w:afterAutospacing="1"/>
    </w:pPr>
    <w:rPr>
      <w:rFonts w:cs="Times New Roman"/>
      <w:sz w:val="24"/>
    </w:rPr>
  </w:style>
  <w:style w:type="paragraph" w:styleId="730">
    <w:name w:val="Title"/>
    <w:basedOn w:val="691"/>
    <w:next w:val="691"/>
    <w:link w:val="754"/>
    <w:uiPriority w:val="10"/>
    <w:qFormat/>
    <w:pPr>
      <w:contextualSpacing/>
      <w:spacing w:before="300" w:after="200"/>
    </w:pPr>
    <w:rPr>
      <w:sz w:val="48"/>
      <w:szCs w:val="48"/>
    </w:rPr>
  </w:style>
  <w:style w:type="paragraph" w:styleId="731">
    <w:name w:val="Body Text First Indent"/>
    <w:basedOn w:val="709"/>
    <w:uiPriority w:val="99"/>
    <w:unhideWhenUsed/>
    <w:qFormat/>
    <w:pPr>
      <w:ind w:firstLine="420"/>
    </w:pPr>
    <w:rPr>
      <w:rFonts w:ascii="Times New Roman" w:hAnsi="Times New Roman" w:eastAsia="宋体" w:cs="Times New Roman"/>
    </w:rPr>
  </w:style>
  <w:style w:type="paragraph" w:styleId="732">
    <w:name w:val="Body Text First Indent 2"/>
    <w:basedOn w:val="710"/>
    <w:next w:val="691"/>
    <w:uiPriority w:val="0"/>
    <w:qFormat/>
    <w:pPr>
      <w:ind w:firstLine="420"/>
    </w:pPr>
  </w:style>
  <w:style w:type="table" w:styleId="733">
    <w:name w:val="Table Grid"/>
    <w:basedOn w:val="70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01"/>
    <w:uiPriority w:val="22"/>
    <w:qFormat/>
    <w:rPr>
      <w:b/>
    </w:rPr>
  </w:style>
  <w:style w:type="character" w:styleId="735">
    <w:name w:val="endnote reference"/>
    <w:basedOn w:val="701"/>
    <w:uiPriority w:val="99"/>
    <w:semiHidden/>
    <w:unhideWhenUsed/>
    <w:qFormat/>
    <w:rPr>
      <w:vertAlign w:val="superscript"/>
    </w:rPr>
  </w:style>
  <w:style w:type="character" w:styleId="736">
    <w:name w:val="Hyperlink"/>
    <w:basedOn w:val="701"/>
    <w:uiPriority w:val="0"/>
    <w:qFormat/>
    <w:rPr>
      <w:color w:val="0000ff"/>
      <w:u w:val="single"/>
    </w:rPr>
  </w:style>
  <w:style w:type="character" w:styleId="737">
    <w:name w:val="footnote reference"/>
    <w:basedOn w:val="701"/>
    <w:uiPriority w:val="99"/>
    <w:unhideWhenUsed/>
    <w:qFormat/>
    <w:rPr>
      <w:vertAlign w:val="superscript"/>
    </w:rPr>
  </w:style>
  <w:style w:type="paragraph" w:styleId="738" w:customStyle="1">
    <w:name w:val="正文首行缩进 21"/>
    <w:basedOn w:val="739"/>
    <w:next w:val="741"/>
    <w:uiPriority w:val="99"/>
    <w:qFormat/>
    <w:pPr>
      <w:ind w:firstLine="420"/>
      <w:spacing w:line="360" w:lineRule="auto"/>
    </w:pPr>
    <w:rPr>
      <w:rFonts w:ascii="宋体" w:hAnsi="宋体"/>
    </w:rPr>
  </w:style>
  <w:style w:type="paragraph" w:styleId="739" w:customStyle="1">
    <w:name w:val="正文文本缩进1"/>
    <w:basedOn w:val="691"/>
    <w:next w:val="740"/>
    <w:uiPriority w:val="0"/>
    <w:qFormat/>
    <w:pPr>
      <w:ind w:firstLine="645"/>
    </w:pPr>
    <w:rPr>
      <w:rFonts w:ascii="楷体_GB2312" w:eastAsia="楷体_GB2312"/>
      <w:sz w:val="32"/>
    </w:rPr>
  </w:style>
  <w:style w:type="paragraph" w:styleId="740" w:customStyle="1">
    <w:name w:val="寄信人地址1"/>
    <w:basedOn w:val="691"/>
    <w:uiPriority w:val="99"/>
    <w:unhideWhenUsed/>
    <w:qFormat/>
    <w:rPr>
      <w:rFonts w:ascii="Arial" w:hAnsi="Arial"/>
    </w:rPr>
  </w:style>
  <w:style w:type="paragraph" w:styleId="741" w:customStyle="1">
    <w:name w:val="正文缩进1"/>
    <w:basedOn w:val="691"/>
    <w:uiPriority w:val="0"/>
    <w:qFormat/>
    <w:pPr>
      <w:ind w:firstLine="420"/>
    </w:pPr>
    <w:rPr>
      <w:szCs w:val="21"/>
    </w:rPr>
  </w:style>
  <w:style w:type="paragraph" w:styleId="742" w:customStyle="1">
    <w:name w:val="Default"/>
    <w:basedOn w:val="691"/>
    <w:uiPriority w:val="0"/>
    <w:semiHidden/>
    <w:qFormat/>
    <w:pPr>
      <w:jc w:val="left"/>
    </w:pPr>
    <w:rPr>
      <w:rFonts w:ascii="宋体" w:hAnsi="Calibri" w:cs="宋体"/>
      <w:color w:val="000000"/>
      <w:sz w:val="24"/>
    </w:rPr>
  </w:style>
  <w:style w:type="character" w:styleId="743" w:customStyle="1">
    <w:name w:val="Heading 1 Char"/>
    <w:basedOn w:val="701"/>
    <w:link w:val="692"/>
    <w:uiPriority w:val="9"/>
    <w:qFormat/>
    <w:rPr>
      <w:rFonts w:ascii="Arial" w:hAnsi="Arial" w:eastAsia="Arial" w:cs="Arial"/>
      <w:sz w:val="40"/>
      <w:szCs w:val="40"/>
    </w:rPr>
  </w:style>
  <w:style w:type="character" w:styleId="744" w:customStyle="1">
    <w:name w:val="Heading 2 Char"/>
    <w:basedOn w:val="701"/>
    <w:uiPriority w:val="9"/>
    <w:qFormat/>
    <w:rPr>
      <w:rFonts w:ascii="Arial" w:hAnsi="Arial" w:eastAsia="Arial" w:cs="Arial"/>
      <w:sz w:val="34"/>
    </w:rPr>
  </w:style>
  <w:style w:type="character" w:styleId="745" w:customStyle="1">
    <w:name w:val="Heading 3 Char"/>
    <w:basedOn w:val="701"/>
    <w:link w:val="694"/>
    <w:uiPriority w:val="9"/>
    <w:qFormat/>
    <w:rPr>
      <w:rFonts w:ascii="Arial" w:hAnsi="Arial" w:eastAsia="Arial" w:cs="Arial"/>
      <w:sz w:val="30"/>
      <w:szCs w:val="30"/>
    </w:rPr>
  </w:style>
  <w:style w:type="character" w:styleId="746" w:customStyle="1">
    <w:name w:val="Heading 4 Char"/>
    <w:basedOn w:val="701"/>
    <w:link w:val="695"/>
    <w:uiPriority w:val="9"/>
    <w:qFormat/>
    <w:rPr>
      <w:rFonts w:ascii="Arial" w:hAnsi="Arial" w:eastAsia="Arial" w:cs="Arial"/>
      <w:b/>
      <w:bCs/>
      <w:sz w:val="26"/>
      <w:szCs w:val="26"/>
    </w:rPr>
  </w:style>
  <w:style w:type="character" w:styleId="747" w:customStyle="1">
    <w:name w:val="Heading 5 Char"/>
    <w:basedOn w:val="701"/>
    <w:link w:val="696"/>
    <w:uiPriority w:val="9"/>
    <w:qFormat/>
    <w:rPr>
      <w:rFonts w:ascii="Arial" w:hAnsi="Arial" w:eastAsia="Arial" w:cs="Arial"/>
      <w:b/>
      <w:bCs/>
      <w:sz w:val="24"/>
      <w:szCs w:val="24"/>
    </w:rPr>
  </w:style>
  <w:style w:type="character" w:styleId="748" w:customStyle="1">
    <w:name w:val="Heading 6 Char"/>
    <w:basedOn w:val="701"/>
    <w:link w:val="697"/>
    <w:uiPriority w:val="9"/>
    <w:qFormat/>
    <w:rPr>
      <w:rFonts w:ascii="Arial" w:hAnsi="Arial" w:eastAsia="Arial" w:cs="Arial"/>
      <w:b/>
      <w:bCs/>
      <w:sz w:val="22"/>
      <w:szCs w:val="22"/>
    </w:rPr>
  </w:style>
  <w:style w:type="character" w:styleId="749" w:customStyle="1">
    <w:name w:val="Heading 7 Char"/>
    <w:basedOn w:val="701"/>
    <w:link w:val="698"/>
    <w:uiPriority w:val="9"/>
    <w:qFormat/>
    <w:rPr>
      <w:rFonts w:ascii="Arial" w:hAnsi="Arial" w:eastAsia="Arial" w:cs="Arial"/>
      <w:b/>
      <w:bCs/>
      <w:i/>
      <w:iCs/>
      <w:sz w:val="22"/>
      <w:szCs w:val="22"/>
    </w:rPr>
  </w:style>
  <w:style w:type="character" w:styleId="750" w:customStyle="1">
    <w:name w:val="Heading 8 Char"/>
    <w:basedOn w:val="701"/>
    <w:link w:val="699"/>
    <w:uiPriority w:val="9"/>
    <w:qFormat/>
    <w:rPr>
      <w:rFonts w:ascii="Arial" w:hAnsi="Arial" w:eastAsia="Arial" w:cs="Arial"/>
      <w:i/>
      <w:iCs/>
      <w:sz w:val="22"/>
      <w:szCs w:val="22"/>
    </w:rPr>
  </w:style>
  <w:style w:type="character" w:styleId="751" w:customStyle="1">
    <w:name w:val="Heading 9 Char"/>
    <w:basedOn w:val="701"/>
    <w:link w:val="700"/>
    <w:uiPriority w:val="9"/>
    <w:qFormat/>
    <w:rPr>
      <w:rFonts w:ascii="Arial" w:hAnsi="Arial" w:eastAsia="Arial" w:cs="Arial"/>
      <w:i/>
      <w:iCs/>
      <w:sz w:val="21"/>
      <w:szCs w:val="21"/>
    </w:rPr>
  </w:style>
  <w:style w:type="paragraph" w:styleId="752">
    <w:name w:val="List Paragraph"/>
    <w:basedOn w:val="691"/>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basedOn w:val="701"/>
    <w:link w:val="730"/>
    <w:uiPriority w:val="10"/>
    <w:qFormat/>
    <w:rPr>
      <w:sz w:val="48"/>
      <w:szCs w:val="48"/>
    </w:rPr>
  </w:style>
  <w:style w:type="character" w:styleId="755" w:customStyle="1">
    <w:name w:val="Subtitle Char"/>
    <w:basedOn w:val="701"/>
    <w:link w:val="722"/>
    <w:uiPriority w:val="11"/>
    <w:qFormat/>
    <w:rPr>
      <w:sz w:val="24"/>
      <w:szCs w:val="24"/>
    </w:rPr>
  </w:style>
  <w:style w:type="paragraph" w:styleId="756">
    <w:name w:val="Quote"/>
    <w:basedOn w:val="691"/>
    <w:next w:val="691"/>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691"/>
    <w:next w:val="691"/>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basedOn w:val="701"/>
    <w:uiPriority w:val="99"/>
    <w:qFormat/>
  </w:style>
  <w:style w:type="character" w:styleId="761" w:customStyle="1">
    <w:name w:val="Footer Char"/>
    <w:basedOn w:val="701"/>
    <w:uiPriority w:val="99"/>
    <w:qFormat/>
  </w:style>
  <w:style w:type="character" w:styleId="762" w:customStyle="1">
    <w:name w:val="Caption Char"/>
    <w:uiPriority w:val="99"/>
    <w:qFormat/>
  </w:style>
  <w:style w:type="table" w:styleId="763" w:customStyle="1">
    <w:name w:val="Table Grid Light"/>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70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70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70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70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70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70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70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70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70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70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70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70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3" w:customStyle="1">
    <w:name w:val="Grid Table 3"/>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70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70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70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70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70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70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70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2" w:customStyle="1">
    <w:name w:val="Grid Table 4 - Accent 2"/>
    <w:basedOn w:val="70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3" w:customStyle="1">
    <w:name w:val="Grid Table 4 - Accent 3"/>
    <w:basedOn w:val="70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4" w:customStyle="1">
    <w:name w:val="Grid Table 4 - Accent 4"/>
    <w:basedOn w:val="70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5" w:customStyle="1">
    <w:name w:val="Grid Table 4 - Accent 5"/>
    <w:basedOn w:val="70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6" w:customStyle="1">
    <w:name w:val="Grid Table 4 - Accent 6"/>
    <w:basedOn w:val="70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7" w:customStyle="1">
    <w:name w:val="Grid Table 5 Dark"/>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9" w:customStyle="1">
    <w:name w:val="Grid Table 5 Dark - Accent 2"/>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0" w:customStyle="1">
    <w:name w:val="Grid Table 5 Dark - Accent 3"/>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1" w:customStyle="1">
    <w:name w:val="Grid Table 5 Dark- Accent 4"/>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2" w:customStyle="1">
    <w:name w:val="Grid Table 5 Dark - Accent 5"/>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3" w:customStyle="1">
    <w:name w:val="Grid Table 5 Dark - Accent 6"/>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4" w:customStyle="1">
    <w:name w:val="Grid Table 6 Colorful"/>
    <w:basedOn w:val="7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basedOn w:val="70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6" w:customStyle="1">
    <w:name w:val="Grid Table 6 Colorful - Accent 2"/>
    <w:basedOn w:val="70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7" w:customStyle="1">
    <w:name w:val="Grid Table 6 Colorful - Accent 3"/>
    <w:basedOn w:val="70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8" w:customStyle="1">
    <w:name w:val="Grid Table 6 Colorful - Accent 4"/>
    <w:basedOn w:val="70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9" w:customStyle="1">
    <w:name w:val="Grid Table 6 Colorful - Accent 5"/>
    <w:basedOn w:val="70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0" w:customStyle="1">
    <w:name w:val="Grid Table 6 Colorful - Accent 6"/>
    <w:basedOn w:val="70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1" w:customStyle="1">
    <w:name w:val="Grid Table 7 Colorful"/>
    <w:basedOn w:val="7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70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70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70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70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70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70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70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70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70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70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70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70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5"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70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7" w:customStyle="1">
    <w:name w:val="List Table 2 - Accent 2"/>
    <w:basedOn w:val="70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8" w:customStyle="1">
    <w:name w:val="List Table 2 - Accent 3"/>
    <w:basedOn w:val="70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9" w:customStyle="1">
    <w:name w:val="List Table 2 - Accent 4"/>
    <w:basedOn w:val="70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0" w:customStyle="1">
    <w:name w:val="List Table 2 - Accent 5"/>
    <w:basedOn w:val="70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1" w:customStyle="1">
    <w:name w:val="List Table 2 - Accent 6"/>
    <w:basedOn w:val="70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2" w:customStyle="1">
    <w:name w:val="List Table 3"/>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basedOn w:val="70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4" w:customStyle="1">
    <w:name w:val="List Table 3 - Accent 2"/>
    <w:basedOn w:val="70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70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70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70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70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9" w:customStyle="1">
    <w:name w:val="List Table 4"/>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basedOn w:val="70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4 - Accent 2"/>
    <w:basedOn w:val="70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2" w:customStyle="1">
    <w:name w:val="List Table 4 - Accent 3"/>
    <w:basedOn w:val="70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3" w:customStyle="1">
    <w:name w:val="List Table 4 - Accent 4"/>
    <w:basedOn w:val="70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4" w:customStyle="1">
    <w:name w:val="List Table 4 - Accent 5"/>
    <w:basedOn w:val="70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5" w:customStyle="1">
    <w:name w:val="List Table 4 - Accent 6"/>
    <w:basedOn w:val="70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6" w:customStyle="1">
    <w:name w:val="List Table 5 Dark"/>
    <w:basedOn w:val="7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basedOn w:val="70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basedOn w:val="70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basedOn w:val="70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basedOn w:val="70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basedOn w:val="70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basedOn w:val="70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basedOn w:val="70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5" w:customStyle="1">
    <w:name w:val="List Table 6 Colorful - Accent 2"/>
    <w:basedOn w:val="70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6" w:customStyle="1">
    <w:name w:val="List Table 6 Colorful - Accent 3"/>
    <w:basedOn w:val="70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7" w:customStyle="1">
    <w:name w:val="List Table 6 Colorful - Accent 4"/>
    <w:basedOn w:val="70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8" w:customStyle="1">
    <w:name w:val="List Table 6 Colorful - Accent 5"/>
    <w:basedOn w:val="70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9" w:customStyle="1">
    <w:name w:val="List Table 6 Colorful - Accent 6"/>
    <w:basedOn w:val="70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0"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70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70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70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70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70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70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9" w:customStyle="1">
    <w:name w:val="Lined - Accent 2"/>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0" w:customStyle="1">
    <w:name w:val="Lined - Accent 3"/>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1" w:customStyle="1">
    <w:name w:val="Lined - Accent 4"/>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2" w:customStyle="1">
    <w:name w:val="Lined - Accent 5"/>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3" w:customStyle="1">
    <w:name w:val="Lined - Accent 6"/>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4" w:customStyle="1">
    <w:name w:val="Bordered &amp; Lined - Accent"/>
    <w:basedOn w:val="7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basedOn w:val="70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6" w:customStyle="1">
    <w:name w:val="Bordered &amp; Lined - Accent 2"/>
    <w:basedOn w:val="70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Bordered &amp; Lined - Accent 3"/>
    <w:basedOn w:val="70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Bordered &amp; Lined - Accent 4"/>
    <w:basedOn w:val="70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Bordered &amp; Lined - Accent 5"/>
    <w:basedOn w:val="70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Bordered &amp; Lined - Accent 6"/>
    <w:basedOn w:val="70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w:basedOn w:val="70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70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3" w:customStyle="1">
    <w:name w:val="Bordered - Accent 2"/>
    <w:basedOn w:val="70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4" w:customStyle="1">
    <w:name w:val="Bordered - Accent 3"/>
    <w:basedOn w:val="70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5" w:customStyle="1">
    <w:name w:val="Bordered - Accent 4"/>
    <w:basedOn w:val="70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6" w:customStyle="1">
    <w:name w:val="Bordered - Accent 5"/>
    <w:basedOn w:val="70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7" w:customStyle="1">
    <w:name w:val="Bordered - Accent 6"/>
    <w:basedOn w:val="70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8" w:customStyle="1">
    <w:name w:val="Footnote Text Char"/>
    <w:link w:val="723"/>
    <w:uiPriority w:val="99"/>
    <w:qFormat/>
    <w:rPr>
      <w:sz w:val="18"/>
    </w:rPr>
  </w:style>
  <w:style w:type="character" w:styleId="889" w:customStyle="1">
    <w:name w:val="Endnote Text Char"/>
    <w:link w:val="717"/>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4"/>
    <w:basedOn w:val="691"/>
    <w:next w:val="725"/>
    <w:uiPriority w:val="0"/>
    <w:qFormat/>
    <w:pPr>
      <w:ind w:firstLine="420"/>
      <w:spacing w:line="360" w:lineRule="auto"/>
    </w:pPr>
    <w:rPr>
      <w:color w:val="ff0000"/>
      <w:sz w:val="24"/>
    </w:rPr>
  </w:style>
  <w:style w:type="paragraph" w:styleId="892" w:customStyle="1">
    <w:name w:val="纯文本1"/>
    <w:basedOn w:val="691"/>
    <w:uiPriority w:val="0"/>
    <w:qFormat/>
    <w:rPr>
      <w:rFonts w:ascii="宋体" w:hAnsi="Courier New" w:eastAsia="楷体_GB2312"/>
      <w:sz w:val="28"/>
      <w:szCs w:val="20"/>
    </w:rPr>
  </w:style>
  <w:style w:type="character" w:styleId="893" w:customStyle="1">
    <w:name w:val="页眉 Char"/>
    <w:basedOn w:val="701"/>
    <w:link w:val="719"/>
    <w:uiPriority w:val="0"/>
    <w:qFormat/>
    <w:rPr>
      <w:sz w:val="18"/>
      <w:szCs w:val="18"/>
    </w:rPr>
  </w:style>
  <w:style w:type="character" w:styleId="894" w:customStyle="1">
    <w:name w:val="页脚 Char"/>
    <w:basedOn w:val="701"/>
    <w:link w:val="718"/>
    <w:uiPriority w:val="0"/>
    <w:qFormat/>
    <w:rPr>
      <w:sz w:val="18"/>
      <w:szCs w:val="18"/>
    </w:rPr>
  </w:style>
  <w:style w:type="paragraph" w:styleId="895" w:customStyle="1">
    <w:name w:val="普通正文"/>
    <w:basedOn w:val="691"/>
    <w:uiPriority w:val="0"/>
    <w:qFormat/>
    <w:pPr>
      <w:ind w:firstLine="480"/>
      <w:jc w:val="left"/>
      <w:spacing w:before="120" w:after="120" w:line="360" w:lineRule="auto"/>
    </w:pPr>
    <w:rPr>
      <w:rFonts w:ascii="Arial" w:hAnsi="Arial" w:eastAsia="等线" w:cs="Arial"/>
      <w:sz w:val="24"/>
      <w:szCs w:val="24"/>
    </w:rPr>
  </w:style>
  <w:style w:type="paragraph" w:styleId="896" w:customStyle="1">
    <w:name w:val="索引 41"/>
    <w:basedOn w:val="691"/>
    <w:next w:val="691"/>
    <w:uiPriority w:val="0"/>
    <w:unhideWhenUsed/>
    <w:qFormat/>
    <w:pPr>
      <w:ind w:left="600"/>
    </w:pPr>
    <w:rPr>
      <w:sz w:val="21"/>
      <w:szCs w:val="24"/>
    </w:rPr>
  </w:style>
  <w:style w:type="paragraph" w:styleId="897" w:customStyle="1">
    <w:name w:val="样式 首行缩进:  2 字符3"/>
    <w:basedOn w:val="691"/>
    <w:uiPriority w:val="0"/>
    <w:qFormat/>
    <w:pPr>
      <w:ind w:firstLine="480"/>
    </w:pPr>
    <w:rPr>
      <w:rFonts w:cs="宋体"/>
      <w:sz w:val="24"/>
    </w:rPr>
  </w:style>
  <w:style w:type="character" w:styleId="898" w:customStyle="1">
    <w:name w:val="NormalCharacter"/>
    <w:uiPriority w:val="0"/>
    <w:qFormat/>
  </w:style>
  <w:style w:type="character" w:styleId="899" w:customStyle="1">
    <w:name w:val="font51"/>
    <w:basedOn w:val="701"/>
    <w:uiPriority w:val="0"/>
    <w:qFormat/>
    <w:rPr>
      <w:rFonts w:hint="default" w:ascii="Arial" w:hAnsi="Arial" w:cs="Arial"/>
      <w:color w:val="000000"/>
      <w:sz w:val="21"/>
      <w:szCs w:val="21"/>
      <w:u w:val="none"/>
    </w:rPr>
  </w:style>
  <w:style w:type="character" w:styleId="900" w:customStyle="1">
    <w:name w:val="font101"/>
    <w:basedOn w:val="701"/>
    <w:uiPriority w:val="0"/>
    <w:qFormat/>
    <w:rPr>
      <w:rFonts w:ascii="Calibri" w:hAnsi="Calibri" w:cs="Calibri"/>
      <w:color w:val="000000"/>
      <w:sz w:val="21"/>
      <w:szCs w:val="21"/>
      <w:u w:val="none"/>
    </w:rPr>
  </w:style>
  <w:style w:type="character" w:styleId="901" w:customStyle="1">
    <w:name w:val="font31"/>
    <w:basedOn w:val="701"/>
    <w:uiPriority w:val="0"/>
    <w:qFormat/>
    <w:rPr>
      <w:rFonts w:hint="eastAsia" w:ascii="宋体" w:hAnsi="宋体" w:eastAsia="宋体" w:cs="宋体"/>
      <w:color w:val="000000"/>
      <w:sz w:val="21"/>
      <w:szCs w:val="21"/>
      <w:u w:val="none"/>
    </w:rPr>
  </w:style>
  <w:style w:type="character" w:styleId="902" w:customStyle="1">
    <w:name w:val="font112"/>
    <w:basedOn w:val="701"/>
    <w:uiPriority w:val="0"/>
    <w:qFormat/>
    <w:rPr>
      <w:rFonts w:hint="default" w:ascii="Arial" w:hAnsi="Arial" w:cs="Arial"/>
      <w:color w:val="000000"/>
      <w:sz w:val="22"/>
      <w:szCs w:val="22"/>
      <w:u w:val="none"/>
    </w:rPr>
  </w:style>
  <w:style w:type="character" w:styleId="903" w:customStyle="1">
    <w:name w:val="font121"/>
    <w:basedOn w:val="701"/>
    <w:uiPriority w:val="0"/>
    <w:qFormat/>
    <w:rPr>
      <w:rFonts w:hint="eastAsia" w:ascii="宋体" w:hAnsi="宋体" w:eastAsia="宋体" w:cs="宋体"/>
      <w:color w:val="000000"/>
      <w:sz w:val="22"/>
      <w:szCs w:val="22"/>
      <w:u w:val="none"/>
    </w:rPr>
  </w:style>
  <w:style w:type="paragraph" w:styleId="904" w:customStyle="1">
    <w:name w:val="列出段落3"/>
    <w:basedOn w:val="691"/>
    <w:uiPriority w:val="0"/>
    <w:qFormat/>
    <w:pPr>
      <w:ind w:firstLine="420"/>
    </w:pPr>
    <w:rPr>
      <w:szCs w:val="20"/>
    </w:rPr>
  </w:style>
  <w:style w:type="paragraph" w:styleId="905" w:customStyle="1">
    <w:name w:val="正文空2格  1."/>
    <w:basedOn w:val="691"/>
    <w:uiPriority w:val="0"/>
    <w:qFormat/>
    <w:pPr>
      <w:ind w:firstLine="480"/>
    </w:pPr>
    <w:rPr>
      <w:rFonts w:cs="宋体"/>
      <w:szCs w:val="20"/>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10</cp:revision>
  <dcterms:created xsi:type="dcterms:W3CDTF">2024-01-18T02:55:00Z</dcterms:created>
  <dcterms:modified xsi:type="dcterms:W3CDTF">2026-05-18T07:54:15Z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6C9770FFE6264A09A6E1C5C40EFC82C8_13</vt:lpwstr>
  </property>
  <property fmtid="{D5CDD505-2E9C-101B-9397-08002B2CF9AE}" pid="4" name="KSOTemplateDocerSaveRecord">
    <vt:lpwstr>eyJoZGlkIjoiOWM3ZjgyZWI3YTBmYjAwNGQwNDQzZDUyNDIzMzA0ZWYiLCJ1c2VySWQiOiIxNzM0NDIxMTMzIn0=</vt:lpwstr>
  </property>
</Properties>
</file>